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7.b.1, 12.a.1 Installed renewable electricity-generating capacity (watts per capita) [7.b.1, 12.a.1] (EG_EGY_RNEW)</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3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Goal 7: Ensure access to affordable, reliable, sustainable and modern energy for al</w:t>
            </w:r>
            <w:r>
              <w:rPr>
                <w:rStyle w:val="53"/>
                <w:rFonts w:hint="default" w:cstheme="minorHAnsi"/>
                <w:lang w:val="en-CA"/>
              </w:rPr>
              <w:t>l</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Target 7.b: By 2030, expand infrastructure and upgrade technology for supplying modern and sustainable</w:t>
            </w:r>
            <w:r>
              <w:rPr>
                <w:rStyle w:val="53"/>
                <w:rFonts w:hint="default" w:cstheme="minorHAnsi"/>
                <w:lang w:val="en-CA"/>
              </w:rPr>
              <w:t xml:space="preserve"> </w:t>
            </w:r>
            <w:r>
              <w:rPr>
                <w:rStyle w:val="53"/>
                <w:rFonts w:cstheme="minorHAnsi"/>
              </w:rPr>
              <w:t>energy services for all in developing countries, in particular least developed countries, small island</w:t>
            </w:r>
            <w:r>
              <w:rPr>
                <w:rStyle w:val="53"/>
                <w:rFonts w:hint="default" w:cstheme="minorHAnsi"/>
                <w:lang w:val="en-CA"/>
              </w:rPr>
              <w:t xml:space="preserve"> </w:t>
            </w:r>
            <w:r>
              <w:rPr>
                <w:rStyle w:val="53"/>
                <w:rFonts w:cstheme="minorHAnsi"/>
              </w:rPr>
              <w:t>developing States and landlocked developing countries, in accordance with their respective programmes</w:t>
            </w:r>
            <w:r>
              <w:rPr>
                <w:rStyle w:val="53"/>
                <w:rFonts w:hint="default" w:cstheme="minorHAnsi"/>
                <w:lang w:val="en-CA"/>
              </w:rPr>
              <w:t xml:space="preserve"> </w:t>
            </w:r>
            <w:r>
              <w:rPr>
                <w:rStyle w:val="53"/>
                <w:rFonts w:cstheme="minorHAnsi"/>
              </w:rPr>
              <w:t>of support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Indicator 7.b.1: Installed renewable energy-generating capacity in developing countries (in watts per</w:t>
            </w:r>
            <w:r>
              <w:rPr>
                <w:rStyle w:val="53"/>
                <w:rFonts w:hint="default" w:cstheme="minorHAnsi"/>
                <w:lang w:val="en-CA"/>
              </w:rPr>
              <w:t xml:space="preserve"> </w:t>
            </w:r>
            <w:r>
              <w:rPr>
                <w:rStyle w:val="53"/>
                <w:rFonts w:cstheme="minorHAnsi"/>
              </w:rPr>
              <w:t>capita)</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12.a.1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Renewable Energy Agency (IRENA)</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3073"/>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rPr>
            </w:pPr>
            <w:r>
              <w:rPr>
                <w:rStyle w:val="53"/>
                <w:rFonts w:cstheme="minorHAnsi"/>
                <w:b/>
                <w:bCs/>
              </w:rPr>
              <w:t>Definition:</w:t>
            </w:r>
            <w:r>
              <w:rPr>
                <w:rFonts w:cstheme="minorHAnsi"/>
              </w:rPr>
              <w:br w:type="textWrapping"/>
            </w:r>
            <w:r>
              <w:rPr>
                <w:rStyle w:val="53"/>
                <w:rFonts w:cstheme="minorHAnsi"/>
              </w:rPr>
              <w:t>The indicator is defined as the installed capacity of power plants that generate electricity from renewable</w:t>
            </w:r>
            <w:r>
              <w:rPr>
                <w:rStyle w:val="53"/>
                <w:rFonts w:hint="default" w:cstheme="minorHAnsi"/>
                <w:lang w:val="en-CA"/>
              </w:rPr>
              <w:t xml:space="preserve"> </w:t>
            </w:r>
            <w:r>
              <w:rPr>
                <w:rStyle w:val="53"/>
                <w:rFonts w:cstheme="minorHAnsi"/>
              </w:rPr>
              <w:t xml:space="preserve">energy sources divided by the total population of a country. </w:t>
            </w:r>
          </w:p>
          <w:p>
            <w:pPr>
              <w:jc w:val="both"/>
              <w:rPr>
                <w:rFonts w:cstheme="minorHAnsi"/>
              </w:rPr>
            </w:pPr>
            <w:r>
              <w:rPr>
                <w:rStyle w:val="53"/>
                <w:rFonts w:cstheme="minorHAnsi"/>
              </w:rPr>
              <w:t>Capacity is defined as the net maximum</w:t>
            </w:r>
            <w:r>
              <w:rPr>
                <w:rStyle w:val="53"/>
                <w:rFonts w:hint="default" w:cstheme="minorHAnsi"/>
                <w:lang w:val="en-CA"/>
              </w:rPr>
              <w:t xml:space="preserve"> </w:t>
            </w:r>
            <w:r>
              <w:rPr>
                <w:rStyle w:val="53"/>
                <w:rFonts w:cstheme="minorHAnsi"/>
              </w:rPr>
              <w:t xml:space="preserve">electrical capacity installed at the year-end and renewable energy sources are as defined in the </w:t>
            </w:r>
            <w:r>
              <w:rPr>
                <w:rStyle w:val="53"/>
                <w:rFonts w:cstheme="minorHAnsi"/>
              </w:rPr>
              <w:fldChar w:fldCharType="begin"/>
            </w:r>
            <w:r>
              <w:rPr>
                <w:rStyle w:val="53"/>
                <w:rFonts w:cstheme="minorHAnsi"/>
              </w:rPr>
              <w:instrText xml:space="preserve"> HYPERLINK "https://www.irena.org/About/Vision-and-mission" </w:instrText>
            </w:r>
            <w:r>
              <w:rPr>
                <w:rStyle w:val="53"/>
                <w:rFonts w:cstheme="minorHAnsi"/>
              </w:rPr>
              <w:fldChar w:fldCharType="separate"/>
            </w:r>
            <w:r>
              <w:rPr>
                <w:rStyle w:val="18"/>
                <w:rFonts w:cstheme="minorHAnsi"/>
              </w:rPr>
              <w:t>IRENA</w:t>
            </w:r>
            <w:r>
              <w:rPr>
                <w:rStyle w:val="18"/>
                <w:rFonts w:hint="default" w:cstheme="minorHAnsi"/>
                <w:lang w:val="en-CA"/>
              </w:rPr>
              <w:t xml:space="preserve"> </w:t>
            </w:r>
            <w:r>
              <w:rPr>
                <w:rStyle w:val="18"/>
                <w:rFonts w:cstheme="minorHAnsi"/>
              </w:rPr>
              <w:t>Statute</w:t>
            </w:r>
            <w:r>
              <w:rPr>
                <w:rStyle w:val="53"/>
                <w:rFonts w:cstheme="minorHAnsi"/>
              </w:rPr>
              <w:fldChar w:fldCharType="end"/>
            </w:r>
            <w:r>
              <w:rPr>
                <w:rStyle w:val="53"/>
                <w:rFonts w:cstheme="minorHAnsi"/>
              </w:rPr>
              <w:t>.</w:t>
            </w:r>
            <w:r>
              <w:rPr>
                <w:rFonts w:cstheme="minorHAnsi"/>
              </w:rPr>
              <w:br w:type="textWrapping"/>
            </w:r>
          </w:p>
          <w:p>
            <w:pPr>
              <w:jc w:val="both"/>
              <w:rPr>
                <w:rFonts w:cstheme="minorHAnsi"/>
              </w:rPr>
            </w:pPr>
            <w:r>
              <w:rPr>
                <w:rStyle w:val="53"/>
                <w:rFonts w:cstheme="minorHAnsi"/>
                <w:b/>
                <w:bCs/>
              </w:rPr>
              <w:t>Concepts:</w:t>
            </w:r>
            <w:r>
              <w:rPr>
                <w:rFonts w:cstheme="minorHAnsi"/>
              </w:rPr>
              <w:br w:type="textWrapping"/>
            </w:r>
            <w:r>
              <w:rPr>
                <w:rStyle w:val="53"/>
                <w:rFonts w:cstheme="minorHAnsi"/>
              </w:rPr>
              <w:t>Electricity capacity is defined in the</w:t>
            </w:r>
            <w:r>
              <w:rPr>
                <w:rStyle w:val="53"/>
                <w:rFonts w:cstheme="minorHAnsi"/>
              </w:rPr>
              <w:fldChar w:fldCharType="begin"/>
            </w:r>
            <w:r>
              <w:rPr>
                <w:rStyle w:val="53"/>
                <w:rFonts w:cstheme="minorHAnsi"/>
              </w:rPr>
              <w:instrText xml:space="preserve"> HYPERLINK "https://unstats.un.org/unsd/energystats/methodology/documents/IRES-web.pdf" </w:instrText>
            </w:r>
            <w:r>
              <w:rPr>
                <w:rStyle w:val="53"/>
                <w:rFonts w:cstheme="minorHAnsi"/>
              </w:rPr>
              <w:fldChar w:fldCharType="separate"/>
            </w:r>
            <w:r>
              <w:rPr>
                <w:rStyle w:val="18"/>
                <w:rFonts w:cstheme="minorHAnsi"/>
              </w:rPr>
              <w:t xml:space="preserve"> International</w:t>
            </w:r>
            <w:r>
              <w:rPr>
                <w:rStyle w:val="18"/>
                <w:rFonts w:hint="default" w:cstheme="minorHAnsi"/>
                <w:lang w:val="en-CA"/>
              </w:rPr>
              <w:t xml:space="preserve"> </w:t>
            </w:r>
            <w:r>
              <w:rPr>
                <w:rStyle w:val="18"/>
                <w:rFonts w:cstheme="minorHAnsi"/>
              </w:rPr>
              <w:t>Recommendations for Energy Statistics or IRES (UN,</w:t>
            </w:r>
            <w:r>
              <w:rPr>
                <w:rStyle w:val="18"/>
                <w:rFonts w:hint="default" w:cstheme="minorHAnsi"/>
                <w:lang w:val="en-CA"/>
              </w:rPr>
              <w:t xml:space="preserve"> </w:t>
            </w:r>
            <w:r>
              <w:rPr>
                <w:rStyle w:val="18"/>
                <w:rFonts w:cstheme="minorHAnsi"/>
              </w:rPr>
              <w:t xml:space="preserve">2018) </w:t>
            </w:r>
            <w:r>
              <w:rPr>
                <w:rStyle w:val="53"/>
                <w:rFonts w:cstheme="minorHAnsi"/>
              </w:rPr>
              <w:fldChar w:fldCharType="end"/>
            </w:r>
            <w:r>
              <w:rPr>
                <w:rStyle w:val="53"/>
                <w:rFonts w:cstheme="minorHAnsi"/>
              </w:rPr>
              <w:t>as the maximum active power that can be supplied continuously (i.e., throughout a prolonged</w:t>
            </w:r>
            <w:r>
              <w:rPr>
                <w:rStyle w:val="53"/>
                <w:rFonts w:hint="default" w:cstheme="minorHAnsi"/>
                <w:lang w:val="en-CA"/>
              </w:rPr>
              <w:t xml:space="preserve"> </w:t>
            </w:r>
            <w:r>
              <w:rPr>
                <w:rStyle w:val="53"/>
                <w:rFonts w:cstheme="minorHAnsi"/>
              </w:rPr>
              <w:t>period in a day with the whole plant running) at the point of outlet (i.e., after taking the power supplies for the station auxiliaries and allowing for the losses in those transformers considered integral to the</w:t>
            </w:r>
            <w:r>
              <w:rPr>
                <w:rStyle w:val="53"/>
                <w:rFonts w:hint="default" w:cstheme="minorHAnsi"/>
                <w:lang w:val="en-CA"/>
              </w:rPr>
              <w:t xml:space="preserve"> </w:t>
            </w:r>
            <w:r>
              <w:rPr>
                <w:rStyle w:val="53"/>
                <w:rFonts w:cstheme="minorHAnsi"/>
              </w:rPr>
              <w:t>station). This assumes no restriction of interconnection to the network. It does not include overload</w:t>
            </w:r>
            <w:r>
              <w:rPr>
                <w:rStyle w:val="53"/>
                <w:rFonts w:hint="default" w:cstheme="minorHAnsi"/>
                <w:lang w:val="en-CA"/>
              </w:rPr>
              <w:t xml:space="preserve"> </w:t>
            </w:r>
            <w:r>
              <w:rPr>
                <w:rStyle w:val="53"/>
                <w:rFonts w:cstheme="minorHAnsi"/>
              </w:rPr>
              <w:t>capacity that can only be sustained for a short period of time (e.g., internal combustion engines</w:t>
            </w:r>
            <w:r>
              <w:rPr>
                <w:rFonts w:cstheme="minorHAnsi"/>
              </w:rPr>
              <w:br w:type="textWrapping"/>
            </w:r>
            <w:r>
              <w:rPr>
                <w:rStyle w:val="53"/>
                <w:rFonts w:cstheme="minorHAnsi"/>
              </w:rPr>
              <w:t>momentarily running above their rated capacity).</w:t>
            </w:r>
            <w:r>
              <w:rPr>
                <w:rFonts w:cstheme="minorHAnsi"/>
              </w:rPr>
              <w:br w:type="textWrapping"/>
            </w:r>
            <w:r>
              <w:rPr>
                <w:rStyle w:val="53"/>
                <w:rFonts w:cstheme="minorHAnsi"/>
              </w:rPr>
              <w:t>The IRENA Statute defines renewable energy to include energy from the following sources: hydropower;</w:t>
            </w:r>
            <w:r>
              <w:rPr>
                <w:rStyle w:val="53"/>
                <w:rFonts w:hint="default" w:cstheme="minorHAnsi"/>
                <w:lang w:val="en-CA"/>
              </w:rPr>
              <w:t xml:space="preserve"> </w:t>
            </w:r>
            <w:r>
              <w:rPr>
                <w:rStyle w:val="53"/>
                <w:rFonts w:cstheme="minorHAnsi"/>
              </w:rPr>
              <w:t>marine energy (ocean, tidal and wave energy); wind energy; solar energy (photovoltaic and thermal</w:t>
            </w:r>
            <w:r>
              <w:rPr>
                <w:rStyle w:val="53"/>
                <w:rFonts w:hint="default" w:cstheme="minorHAnsi"/>
                <w:lang w:val="en-CA"/>
              </w:rPr>
              <w:t xml:space="preserve"> </w:t>
            </w:r>
            <w:r>
              <w:rPr>
                <w:rStyle w:val="53"/>
                <w:rFonts w:cstheme="minorHAnsi"/>
              </w:rPr>
              <w:t>energy); bioenergy; and geothermal energy.</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Watts per capita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National Energy Statistics</w:t>
            </w:r>
            <w:r>
              <w:rPr>
                <w:rFonts w:hint="default"/>
                <w:lang w:val="en-CA"/>
              </w:rPr>
              <w:t>,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Energy Commission </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813075"/>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t>The focus of this indicator on electricity reflects the</w:t>
            </w:r>
            <w:r>
              <w:br w:type="textWrapping"/>
            </w:r>
            <w:r>
              <w:t>emphasis of the target on modern sources of energy and is particularly relevant for developing countries</w:t>
            </w:r>
            <w:r>
              <w:rPr>
                <w:rFonts w:hint="default"/>
                <w:lang w:val="en-CA"/>
              </w:rPr>
              <w:t xml:space="preserve"> </w:t>
            </w:r>
            <w:r>
              <w:t>where the demand for electricity is often high and its availability is constrained. Furthermore, the focus on renewables reflects the fact that the technologies used to produce renewable electricity are generally</w:t>
            </w:r>
            <w:r>
              <w:rPr>
                <w:rFonts w:hint="default"/>
                <w:lang w:val="en-CA"/>
              </w:rPr>
              <w:t xml:space="preserve"> </w:t>
            </w:r>
            <w:r>
              <w:t>modern and more sustainable than non-renewables, particularly in the fastest growing sub-sectors of</w:t>
            </w:r>
            <w:r>
              <w:rPr>
                <w:rFonts w:hint="default"/>
                <w:lang w:val="en-CA"/>
              </w:rPr>
              <w:t xml:space="preserve"> </w:t>
            </w:r>
            <w:bookmarkStart w:id="38" w:name="_GoBack"/>
            <w:bookmarkEnd w:id="38"/>
            <w:r>
              <w:t>electricity generation</w:t>
            </w:r>
            <w:r>
              <w:rPr>
                <w:rFonts w:hint="default"/>
                <w:lang w:val="en-CA"/>
              </w:rPr>
              <w:t xml:space="preserve"> </w:t>
            </w:r>
            <w:r>
              <w:t>from wind and solar energy.</w:t>
            </w:r>
            <w:r>
              <w:br w:type="textWrapping"/>
            </w:r>
            <w:r>
              <w:t>It uses</w:t>
            </w:r>
            <w:r>
              <w:rPr>
                <w:rFonts w:hint="default"/>
                <w:lang w:val="en-CA"/>
              </w:rPr>
              <w:t xml:space="preserve"> </w:t>
            </w:r>
            <w:r>
              <w:t>population rather than GDP to scale the data, because this is the most basic indicator of the demand for</w:t>
            </w:r>
            <w:r>
              <w:rPr>
                <w:rFonts w:hint="default"/>
                <w:lang w:val="en-CA"/>
              </w:rPr>
              <w:t xml:space="preserve"> </w:t>
            </w:r>
            <w:r>
              <w:t>modern and sustainable energy services in a country.</w:t>
            </w:r>
            <w:r>
              <w:rPr>
                <w:rFonts w:hint="default"/>
                <w:lang w:val="en-CA"/>
              </w:rPr>
              <w:t xml:space="preserve"> </w:t>
            </w:r>
            <w:r>
              <w:t>With respect to electricity access, it will</w:t>
            </w:r>
            <w:r>
              <w:rPr>
                <w:rFonts w:hint="default"/>
                <w:lang w:val="en-CA"/>
              </w:rPr>
              <w:t xml:space="preserve"> </w:t>
            </w:r>
            <w:r>
              <w:t>provide additional information to the proportion of people with electricity access by showing how much</w:t>
            </w:r>
            <w:r>
              <w:rPr>
                <w:rFonts w:hint="default"/>
                <w:lang w:val="en-CA"/>
              </w:rPr>
              <w:t xml:space="preserve"> </w:t>
            </w:r>
            <w:r>
              <w:t>infrastructure is available to deliver that access (in terms of the amount of capacity per person). The</w:t>
            </w:r>
            <w:r>
              <w:rPr>
                <w:rFonts w:hint="default"/>
                <w:lang w:val="en-CA"/>
              </w:rPr>
              <w:t xml:space="preserve"> </w:t>
            </w:r>
            <w:r>
              <w:t>focus on renewable capacity will also add value to the existing renewables indicator (7.2.1) by showing</w:t>
            </w:r>
            <w:r>
              <w:rPr>
                <w:rFonts w:hint="default"/>
                <w:lang w:val="en-CA"/>
              </w:rPr>
              <w:t xml:space="preserve"> </w:t>
            </w:r>
            <w:r>
              <w:t>how much renewable energy is contributing to the need for improved electricity access.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655613"/>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 </w:t>
            </w:r>
            <w:r>
              <w:rPr>
                <w:rFonts w:hint="default"/>
                <w:lang w:val="en-CA"/>
              </w:rPr>
              <w:t>There is no available disaggregatin for this indcator.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"http://energycom.gov.gh/files/National%20Energy%20Statistics%202021.pdf" </w:instrText>
            </w:r>
            <w:r>
              <w:fldChar w:fldCharType="separate"/>
            </w:r>
            <w:r>
              <w:rPr>
                <w:rStyle w:val="18"/>
              </w:rPr>
              <w:t>http://energycom.gov.gh/files/National%20Energy%20Statistics%202021.pdf</w:t>
            </w:r>
            <w:r>
              <w:fldChar w:fldCharType="end"/>
            </w:r>
            <w:r>
              <w:rPr>
                <w:rFonts w:hint="default"/>
                <w:lang w:val="en-CA"/>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5FB2"/>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4E8D"/>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2F3CBE"/>
    <w:rsid w:val="00316CFE"/>
    <w:rsid w:val="003218D9"/>
    <w:rsid w:val="00325D2B"/>
    <w:rsid w:val="00344199"/>
    <w:rsid w:val="003514F3"/>
    <w:rsid w:val="00352386"/>
    <w:rsid w:val="0035311B"/>
    <w:rsid w:val="00355460"/>
    <w:rsid w:val="00372D21"/>
    <w:rsid w:val="00380958"/>
    <w:rsid w:val="003812B1"/>
    <w:rsid w:val="003877B4"/>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690"/>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6FA8"/>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088B"/>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12E8"/>
    <w:rsid w:val="00FA20D9"/>
    <w:rsid w:val="00FB03D0"/>
    <w:rsid w:val="00FD54D7"/>
    <w:rsid w:val="00FF642D"/>
    <w:rsid w:val="135F6A4B"/>
    <w:rsid w:val="4C75386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DE0"/>
    <w:rsid w:val="00296525"/>
    <w:rsid w:val="0036646D"/>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1231111</Characters>
  <Lines>10259</Lines>
  <Paragraphs>2888</Paragraphs>
  <TotalTime>31</TotalTime>
  <ScaleCrop>false</ScaleCrop>
  <LinksUpToDate>false</LinksUpToDate>
  <CharactersWithSpaces>1444207</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2022-09-21T14:39:00Z</dcterms:created>
  <dc:creator>Fanning, Stephen B (JMD)</dc:creator>
  <cp:lastModifiedBy>Doreen</cp:lastModifiedBy>
  <cp:lastPrinted>2020-04-16T14:23:00Z</cp:lastPrinted>
  <dcterms:modified xsi:type="dcterms:W3CDTF">2022-11-14T10:55:39Z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8606A1DD541B462183833E4D8B610F55</vt:lpwstr>
  </property>
</Properties>
</file>