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3073"/>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w:t>
            </w:r>
            <w:r>
              <w:rPr>
                <w:rFonts w:hint="default"/>
                <w:color w:val="000000"/>
                <w:lang w:val="en-CA"/>
              </w:rPr>
              <w:t>age</w:t>
            </w:r>
            <w:r>
              <w:rPr>
                <w:color w:val="000000"/>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57585A"/>
              </w:rPr>
              <w:t>Education Sector Medium-Term Development Plan, 2022 – 2025</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Education</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655612"/>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p>
            <w:pPr>
              <w:pStyle w:val="19"/>
            </w:pPr>
            <w:r>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educational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bookmarkStart w:id="38" w:name="_GoBack"/>
      <w:bookmarkEnd w:id="38"/>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473269D9"/>
    <w:rsid w:val="6F4B1F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215704</Words>
  <Characters>1229513</Characters>
  <Lines>10245</Lines>
  <Paragraphs>2884</Paragraphs>
  <TotalTime>194</TotalTime>
  <ScaleCrop>false</ScaleCrop>
  <LinksUpToDate>false</LinksUpToDate>
  <CharactersWithSpaces>1442333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Doreen</cp:lastModifiedBy>
  <cp:lastPrinted>2020-04-16T14:23:00Z</cp:lastPrinted>
  <dcterms:modified xsi:type="dcterms:W3CDTF">2022-11-09T05:42:14Z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9E6276A02C6844B6824FB067E93FAFEE</vt:lpwstr>
  </property>
</Properties>
</file>