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1.a.2 Proportion of total government spending on essential services, education [1.a.2] (SD_XPD_ESED)</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2571"/>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rPr>
                <w:sz w:val="22"/>
                <w:szCs w:val="22"/>
              </w:rPr>
              <w:fldChar w:fldCharType="begin"/>
            </w:r>
            <w:r>
              <w:rPr>
                <w:sz w:val="22"/>
                <w:szCs w:val="22"/>
              </w:rPr>
              <w:instrText xml:space="preserve"> HYPERLINK "https://sustainabledevelopment-ghana.github.io/no-poverty" </w:instrText>
            </w:r>
            <w:r>
              <w:rPr>
                <w:sz w:val="22"/>
                <w:szCs w:val="22"/>
              </w:rPr>
              <w:fldChar w:fldCharType="separate"/>
            </w:r>
            <w:r>
              <w:rPr>
                <w:rStyle w:val="55"/>
                <w:rFonts w:asciiTheme="minorHAnsi" w:hAnsiTheme="minorHAnsi" w:cstheme="minorHAnsi"/>
                <w:color w:val="auto"/>
                <w:sz w:val="22"/>
                <w:szCs w:val="22"/>
              </w:rPr>
              <w:t xml:space="preserve">Goal 1: </w:t>
            </w:r>
            <w:r>
              <w:rPr>
                <w:rStyle w:val="18"/>
                <w:rFonts w:asciiTheme="minorHAnsi" w:hAnsiTheme="minorHAnsi" w:cstheme="minorHAnsi"/>
                <w:color w:val="auto"/>
                <w:sz w:val="22"/>
                <w:szCs w:val="22"/>
                <w:u w:val="none"/>
              </w:rPr>
              <w:t xml:space="preserve">End poverty in all its forms everywhere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1"/>
              <w:rPr>
                <w:sz w:val="22"/>
                <w:szCs w:val="22"/>
              </w:rPr>
            </w:pPr>
            <w:r>
              <w:rPr>
                <w:sz w:val="22"/>
                <w:szCs w:val="22"/>
              </w:rPr>
              <w:t>Target 1.a: Ensure significant mobilization of resources from a variety of sources, including through enhanced development cooperation, in order to provide adequate and predictable means for developing countries, in particular least developed countries, to implement programmes and policies to end poverty in all its dimensions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1.a.2: Proportion of total government spending on essential services (education, health and social protection)</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bookmarkStart w:id="38" w:name="_GoBack"/>
            <w:bookmarkEnd w:id="38"/>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rPr>
                <w:color w:val="4A4A4A"/>
              </w:rPr>
            </w:pPr>
            <w:r>
              <w:t>UNESCO Institute for Statistics (UNESCO-UIS)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7932744"/>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Finance, 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20"/>
                <w:rFonts w:cs="Times New Roman"/>
                <w:color w:val="4A4A4A"/>
                <w:sz w:val="22"/>
                <w:szCs w:val="22"/>
              </w:rPr>
            </w:pPr>
            <w:r>
              <w:rPr>
                <w:rStyle w:val="20"/>
                <w:rFonts w:cs="Times New Roman"/>
                <w:color w:val="4A4A4A"/>
                <w:sz w:val="22"/>
                <w:szCs w:val="22"/>
              </w:rPr>
              <w:t>Definition:</w:t>
            </w:r>
          </w:p>
          <w:p>
            <w:pPr>
              <w:shd w:val="clear" w:color="auto" w:fill="FFFFFF"/>
              <w:spacing w:after="0"/>
              <w:rPr>
                <w:rFonts w:cs="Times New Roman"/>
                <w:color w:val="4A4A4A"/>
                <w:sz w:val="22"/>
                <w:szCs w:val="22"/>
              </w:rPr>
            </w:pPr>
            <w:r>
              <w:rPr>
                <w:color w:val="4A4A4A"/>
                <w:sz w:val="22"/>
                <w:szCs w:val="22"/>
              </w:rPr>
              <w:t>Total general (local, regional and central) government expenditure on education (current, capital, and transfers), expressed as a percentage of total general government expenditure on all sectors (including health, education, social services, etc.). It includes expenditure funded by transfers from international sources to the government.</w:t>
            </w:r>
          </w:p>
          <w:p>
            <w:pPr>
              <w:pStyle w:val="56"/>
              <w:shd w:val="clear" w:color="auto" w:fill="FFFFFF"/>
              <w:spacing w:before="0" w:beforeAutospacing="0" w:after="0" w:afterAutospacing="0"/>
              <w:rPr>
                <w:rFonts w:asciiTheme="minorHAnsi" w:hAnsiTheme="minorHAnsi"/>
                <w:color w:val="4A4A4A"/>
                <w:sz w:val="22"/>
                <w:szCs w:val="22"/>
              </w:rPr>
            </w:pPr>
          </w:p>
          <w:p>
            <w:pPr>
              <w:shd w:val="clear" w:color="auto" w:fill="FFFFFF"/>
              <w:spacing w:after="0"/>
              <w:rPr>
                <w:rFonts w:cs="Times New Roman"/>
                <w:color w:val="4A4A4A"/>
                <w:sz w:val="22"/>
                <w:szCs w:val="22"/>
              </w:rPr>
            </w:pPr>
            <w:r>
              <w:rPr>
                <w:rStyle w:val="20"/>
                <w:rFonts w:cs="Times New Roman"/>
                <w:color w:val="4A4A4A"/>
                <w:sz w:val="22"/>
                <w:szCs w:val="22"/>
              </w:rPr>
              <w:t>Concepts:</w:t>
            </w:r>
          </w:p>
          <w:p>
            <w:pPr>
              <w:pStyle w:val="56"/>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Government expenditure on education covers educational expenditure by all levels of government (local, regional, central) on the formal education system, from early childhood to tertiary education, in both public and private instructional and non-instructional institutions within the borders of a country.</w:t>
            </w:r>
          </w:p>
          <w:p>
            <w:pPr>
              <w:pStyle w:val="56"/>
              <w:shd w:val="clear" w:color="auto" w:fill="FFFFFF"/>
              <w:spacing w:after="0"/>
              <w:rPr>
                <w:rFonts w:asciiTheme="minorHAnsi" w:hAnsiTheme="minorHAnsi"/>
                <w:color w:val="4A4A4A"/>
                <w:sz w:val="22"/>
                <w:szCs w:val="22"/>
              </w:rPr>
            </w:pPr>
            <w:r>
              <w:rPr>
                <w:rFonts w:asciiTheme="minorHAnsi" w:hAnsiTheme="minorHAnsi"/>
                <w:color w:val="4A4A4A"/>
                <w:sz w:val="22"/>
                <w:szCs w:val="22"/>
              </w:rPr>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lang w:val="en-US"/>
              </w:rPr>
              <w:t>P</w:t>
            </w:r>
            <w:r>
              <w:t>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eastAsia="Calibri" w:cs="Arial" w:asciiTheme="minorAscii" w:hAnsiTheme="minorAscii"/>
                <w:i/>
                <w:iCs/>
                <w:sz w:val="22"/>
                <w:szCs w:val="22"/>
              </w:rPr>
              <w:t>2019 Programme Based Budgets of Ministry; 2019 Programme Based Budgets of Ministry of Health</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p>
            <w: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7932747"/>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pro-poor). This is a strong measurement of the financial commitment governments make to target their services and transfers on the poor groups of society, reinforcing pro-poor development strategies.</w:t>
            </w:r>
          </w:p>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Further developments of the methodology and improvements in data availability may allow to expand this indicator to other vulnerable groups, such as women and children.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0000000000000000000"/>
    <w:charset w:val="00"/>
    <w:family w:val="auto"/>
    <w:pitch w:val="default"/>
    <w:sig w:usb0="A00002EF" w:usb1="4000204B" w:usb2="00000000" w:usb3="00000000" w:csb0="2000019F" w:csb1="00000000"/>
  </w:font>
  <w:font w:name="Tahoma">
    <w:panose1 w:val="020B0604030504040204"/>
    <w:charset w:val="00"/>
    <w:family w:val="auto"/>
    <w:pitch w:val="default"/>
    <w:sig w:usb0="E1002EFF" w:usb1="C000605B" w:usb2="00000029" w:usb3="00000000" w:csb0="200101FF" w:csb1="20280000"/>
  </w:font>
  <w:font w:name="Viner Hand ITC">
    <w:panose1 w:val="03070502030502020203"/>
    <w:charset w:val="00"/>
    <w:family w:val="auto"/>
    <w:pitch w:val="default"/>
    <w:sig w:usb0="00000003" w:usb1="00000000" w:usb2="00000000" w:usb3="00000000" w:csb0="20000001" w:csb1="00000000"/>
  </w:font>
  <w:font w:name="Trebuchet MS">
    <w:panose1 w:val="020B0603020202020204"/>
    <w:charset w:val="00"/>
    <w:family w:val="auto"/>
    <w:pitch w:val="default"/>
    <w:sig w:usb0="00000687" w:usb1="00000000" w:usb2="00000000" w:usb3="00000000" w:csb0="2000009F" w:csb1="00000000"/>
  </w:font>
  <w:font w:name="Tw Cen MT Condensed">
    <w:panose1 w:val="020B0606020104020203"/>
    <w:charset w:val="00"/>
    <w:family w:val="auto"/>
    <w:pitch w:val="default"/>
    <w:sig w:usb0="00000003" w:usb1="00000000" w:usb2="00000000" w:usb3="00000000" w:csb0="20000003" w:csb1="00000000"/>
  </w:font>
  <w:font w:name="SimSun-ExtB">
    <w:panose1 w:val="02010609060101010101"/>
    <w:charset w:val="86"/>
    <w:family w:val="auto"/>
    <w:pitch w:val="default"/>
    <w:sig w:usb0="00000001" w:usb1="02000000" w:usb2="00000000" w:usb3="00000000" w:csb0="00040001" w:csb1="00000000"/>
  </w:font>
  <w:font w:name="Sitka Heading">
    <w:panose1 w:val="00000000000000000000"/>
    <w:charset w:val="00"/>
    <w:family w:val="auto"/>
    <w:pitch w:val="default"/>
    <w:sig w:usb0="A00002EF" w:usb1="4000204B" w:usb2="00000000" w:usb3="00000000" w:csb0="2000019F" w:csb1="00000000"/>
  </w:font>
  <w:font w:name="Sitka Text">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2"/>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F52"/>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8F5"/>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061F"/>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AB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7AA1D59"/>
    <w:rsid w:val="67140C0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8"/>
    <w:semiHidden/>
    <w:unhideWhenUsed/>
    <w:uiPriority w:val="99"/>
    <w:pPr>
      <w:spacing w:line="240" w:lineRule="auto"/>
    </w:pPr>
    <w:rPr>
      <w:sz w:val="20"/>
      <w:szCs w:val="20"/>
    </w:rPr>
  </w:style>
  <w:style w:type="paragraph" w:styleId="9">
    <w:name w:val="annotation subject"/>
    <w:basedOn w:val="8"/>
    <w:next w:val="8"/>
    <w:link w:val="49"/>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1"/>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uiPriority w:val="39"/>
    <w:pPr>
      <w:spacing w:after="100"/>
      <w:ind w:left="220"/>
    </w:pPr>
  </w:style>
  <w:style w:type="paragraph" w:styleId="26">
    <w:name w:val="toc 3"/>
    <w:basedOn w:val="1"/>
    <w:next w:val="1"/>
    <w:unhideWhenUsed/>
    <w:uiPriority w:val="39"/>
    <w:pPr>
      <w:spacing w:after="100"/>
      <w:ind w:left="440"/>
    </w:pPr>
  </w:style>
  <w:style w:type="character" w:customStyle="1" w:styleId="27">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uiPriority w:val="99"/>
  </w:style>
  <w:style w:type="character" w:customStyle="1" w:styleId="47">
    <w:name w:val="Unresolved Mention1"/>
    <w:basedOn w:val="4"/>
    <w:semiHidden/>
    <w:unhideWhenUsed/>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A69BB"/>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215631</Words>
  <Characters>1229098</Characters>
  <Lines>10242</Lines>
  <Paragraphs>2883</Paragraphs>
  <TotalTime>47</TotalTime>
  <ScaleCrop>false</ScaleCrop>
  <LinksUpToDate>false</LinksUpToDate>
  <CharactersWithSpaces>1441846</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2021-10-17T22:26:00Z</dcterms:created>
  <dc:creator>Fanning, Stephen B (JMD)</dc:creator>
  <cp:lastModifiedBy>origi</cp:lastModifiedBy>
  <cp:lastPrinted>2020-04-16T14:23:00Z</cp:lastPrinted>
  <dcterms:modified xsi:type="dcterms:W3CDTF">2022-09-21T21:55:51Z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3B0A6D0BEB77450CAD0BDD65426E5E32</vt:lpwstr>
  </property>
</Properties>
</file>