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9"/>
            </w:rPr>
            <w:fldChar w:fldCharType="begin"/>
          </w:r>
          <w:r>
            <w:rPr>
              <w:rStyle w:val="19"/>
            </w:rPr>
            <w:instrText xml:space="preserve"> TOC \o "1-3" \h \z \u </w:instrText>
          </w:r>
          <w:r>
            <w:rPr>
              <w:rStyle w:val="19"/>
            </w:rPr>
            <w:fldChar w:fldCharType="separate"/>
          </w:r>
          <w:r>
            <w:fldChar w:fldCharType="begin"/>
          </w:r>
          <w:r>
            <w:instrText xml:space="preserve"> HYPERLINK \l "_Toc37932741" </w:instrText>
          </w:r>
          <w:r>
            <w:fldChar w:fldCharType="separate"/>
          </w:r>
          <w:r>
            <w:rPr>
              <w:rStyle w:val="19"/>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9"/>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9"/>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9"/>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9"/>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9"/>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9"/>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9"/>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9"/>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9"/>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9"/>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9"/>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9"/>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9"/>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5"/>
        </w:rPr>
        <w:footnoteReference w:id="0"/>
      </w:r>
      <w:r>
        <w:t xml:space="preserve"> A </w:t>
      </w:r>
      <w:r>
        <w:fldChar w:fldCharType="begin"/>
      </w:r>
      <w:r>
        <w:instrText xml:space="preserve"> HYPERLINK \l "Mapping" </w:instrText>
      </w:r>
      <w:r>
        <w:fldChar w:fldCharType="separate"/>
      </w:r>
      <w:r>
        <w:rPr>
          <w:rStyle w:val="19"/>
        </w:rPr>
        <w:t>mapping</w:t>
      </w:r>
      <w:r>
        <w:rPr>
          <w:rStyle w:val="19"/>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9"/>
        </w:rPr>
        <w:t>descriptions</w:t>
      </w:r>
      <w:r>
        <w:rPr>
          <w:rStyle w:val="19"/>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3.3.3 Malaria incidence per 1,000 population at risk [3.3.3] (SH_STA_MALR)</w:t>
          </w:r>
          <w:permEnd w:id="1"/>
        </w:p>
      </w:sdtContent>
    </w:sdt>
    <w:bookmarkEnd w:id="1"/>
    <w:p>
      <w:pPr>
        <w:spacing w:after="0"/>
        <w:rPr>
          <w:sz w:val="26"/>
          <w:szCs w:val="26"/>
        </w:rPr>
      </w:pPr>
    </w:p>
    <w:p>
      <w:pPr>
        <w:spacing w:after="0"/>
        <w:rPr>
          <w:sz w:val="26"/>
          <w:szCs w:val="26"/>
        </w:rPr>
      </w:pPr>
      <w:r>
        <w:rPr>
          <w:sz w:val="26"/>
          <w:szCs w:val="26"/>
        </w:rPr>
        <w:object>
          <v:shape id="_x0000_i1025" o:spt="201" alt="" type="#_x0000_t201" style="height:3pt;width:3pt;" o:ole="t" filled="f" o:preferrelative="t" stroked="f" coordsize="21600,21600">
            <v:path/>
            <v:fill on="f" focussize="0,0"/>
            <v:stroke on="f"/>
            <v:imagedata r:id="rId9" o:title=""/>
            <o:lock v:ext="edit" aspectratio="t"/>
            <w10:wrap type="none"/>
            <w10:anchorlock/>
          </v:shape>
          <w:control r:id="rId8" w:name="CommandButton1" w:shapeid="_x0000_i1025"/>
        </w:object>
      </w:r>
      <w:r>
        <w:rPr>
          <w:sz w:val="26"/>
          <w:szCs w:val="26"/>
        </w:rPr>
        <w:t xml:space="preserve">   </w:t>
      </w:r>
      <w:r>
        <w:rPr>
          <w:sz w:val="26"/>
          <w:szCs w:val="26"/>
        </w:rPr>
        <w:object>
          <v:shape id="_x0000_i1026" o:spt="201" alt="" type="#_x0000_t201" style="height:3pt;width:3pt;" o:ole="t" filled="f" o:preferrelative="t" stroked="f" coordsize="21600,21600">
            <v:path/>
            <v:fill on="f" focussize="0,0"/>
            <v:stroke on="f"/>
            <v:imagedata r:id="rId9" o:title=""/>
            <o:lock v:ext="edit" aspectratio="t"/>
            <w10:wrap type="none"/>
            <w10:anchorlock/>
          </v:shape>
          <w:control r:id="rId10" w:name="CommandButton2"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9"/>
        </w:rPr>
        <w:t>ISO web page</w:t>
      </w:r>
      <w:r>
        <w:rPr>
          <w:rStyle w:val="19"/>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3pt;width:3pt;" o:ole="t" filled="f" o:preferrelative="t" stroked="f" coordsize="21600,21600">
            <v:path/>
            <v:fill on="f" focussize="0,0"/>
            <v:stroke on="f"/>
            <v:imagedata r:id="rId9" o:title=""/>
            <o:lock v:ext="edit" aspectratio="t"/>
            <w10:wrap type="none"/>
            <w10:anchorlock/>
          </v:shape>
          <w:control r:id="rId11" w:name="CommandButton3" w:shapeid="_x0000_i1027"/>
        </w:object>
      </w:r>
      <w:r>
        <w:t xml:space="preserve">             </w:t>
      </w:r>
      <w:r>
        <w:object>
          <v:shape id="_x0000_i1028" o:spt="201" alt="" type="#_x0000_t201" style="height:3pt;width:3pt;" o:ole="t" filled="f" o:preferrelative="t" stroked="f" coordsize="21600,21600">
            <v:path/>
            <v:fill on="f" focussize="0,0"/>
            <v:stroke on="f"/>
            <v:imagedata r:id="rId9" o:title=""/>
            <o:lock v:ext="edit" aspectratio="t"/>
            <w10:wrap type="none"/>
            <w10:anchorlock/>
          </v:shape>
          <w:control r:id="rId12" w:name="CommandButton4"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5"/>
        <w:tblW w:w="4750" w:type="pct"/>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571"/>
            <w:bookmarkStart w:id="5" w:name="_Toc37932743"/>
            <w:bookmarkStart w:id="6" w:name="_Toc36812684"/>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
              <w:rPr>
                <w:rFonts w:asciiTheme="minorHAnsi" w:hAnsiTheme="minorHAnsi" w:cstheme="minorHAnsi"/>
                <w:color w:val="auto"/>
                <w:sz w:val="22"/>
                <w:szCs w:val="22"/>
              </w:rPr>
            </w:pPr>
            <w:r>
              <w:fldChar w:fldCharType="begin"/>
            </w:r>
            <w:r>
              <w:instrText xml:space="preserve"> HYPERLINK "https://sustainabledevelopment-ghana.github.io/good-health-and-well-being" </w:instrText>
            </w:r>
            <w:r>
              <w:fldChar w:fldCharType="separate"/>
            </w:r>
            <w:r>
              <w:rPr>
                <w:rStyle w:val="55"/>
                <w:rFonts w:asciiTheme="minorHAnsi" w:hAnsiTheme="minorHAnsi" w:cstheme="minorHAnsi"/>
                <w:color w:val="auto"/>
                <w:sz w:val="22"/>
                <w:szCs w:val="22"/>
              </w:rPr>
              <w:t xml:space="preserve">Goal 3: </w:t>
            </w:r>
            <w:r>
              <w:rPr>
                <w:rStyle w:val="19"/>
                <w:rFonts w:asciiTheme="minorHAnsi" w:hAnsiTheme="minorHAnsi" w:cstheme="minorHAnsi"/>
                <w:color w:val="auto"/>
                <w:sz w:val="22"/>
                <w:szCs w:val="22"/>
                <w:u w:val="none"/>
              </w:rPr>
              <w:t>Ensure healthy lives and promote well-being for all at all ages</w:t>
            </w:r>
            <w:r>
              <w:rPr>
                <w:rStyle w:val="19"/>
                <w:rFonts w:asciiTheme="minorHAnsi" w:hAnsiTheme="minorHAnsi" w:cstheme="minorHAnsi"/>
                <w:color w:val="auto"/>
                <w:sz w:val="22"/>
                <w:szCs w:val="22"/>
                <w:u w:val="none"/>
              </w:rPr>
              <w:fldChar w:fldCharType="end"/>
            </w:r>
            <w:r>
              <w:rPr>
                <w:rStyle w:val="19"/>
                <w:rFonts w:asciiTheme="minorHAnsi" w:hAnsiTheme="minorHAnsi" w:cstheme="minorHAnsi"/>
                <w:color w:val="auto"/>
                <w:sz w:val="22"/>
                <w:szCs w:val="22"/>
                <w:u w:val="none"/>
              </w:rPr>
              <w:t>.</w:t>
            </w:r>
          </w:p>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3"/>
              <w:rPr>
                <w:rStyle w:val="57"/>
                <w:rFonts w:ascii="Calibri" w:hAnsi="Calibri" w:cs="Calibri"/>
                <w:color w:val="333333"/>
                <w:sz w:val="21"/>
                <w:szCs w:val="21"/>
              </w:rPr>
            </w:pPr>
            <w:r>
              <w:rPr>
                <w:rStyle w:val="56"/>
                <w:rFonts w:ascii="Calibri" w:hAnsi="Calibri" w:cs="Calibri"/>
                <w:color w:val="333333"/>
                <w:sz w:val="21"/>
                <w:szCs w:val="21"/>
                <w:shd w:val="clear" w:color="auto" w:fill="F5F5F5"/>
              </w:rPr>
              <w:t>Target 3.3: By 2030, end the epidemics of AIDS, tuberculosis, malaria and neglected tropical diseases and combat hepatitis, water-borne diseases and other communicable diseases.</w:t>
            </w:r>
            <w:r>
              <w:rPr>
                <w:rStyle w:val="57"/>
                <w:rFonts w:ascii="Calibri" w:hAnsi="Calibri" w:cs="Calibri"/>
                <w:color w:val="333333"/>
                <w:sz w:val="21"/>
                <w:szCs w:val="21"/>
              </w:rPr>
              <w:t> </w:t>
            </w:r>
          </w:p>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
              <w:rPr>
                <w:rFonts w:asciiTheme="minorHAnsi" w:hAnsiTheme="minorHAnsi" w:cstheme="minorHAnsi"/>
                <w:color w:val="auto"/>
                <w:sz w:val="22"/>
                <w:szCs w:val="22"/>
              </w:rPr>
            </w:pPr>
            <w:r>
              <w:rPr>
                <w:rFonts w:asciiTheme="minorHAnsi" w:hAnsiTheme="minorHAnsi" w:cstheme="minorHAnsi"/>
                <w:color w:val="auto"/>
                <w:sz w:val="22"/>
                <w:szCs w:val="22"/>
              </w:rPr>
              <w:t>Indicator 3.3.3: Malaria incidence per 1,000 population.</w:t>
            </w:r>
          </w:p>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33"/>
              <w:rPr>
                <w:color w:val="333333"/>
                <w:sz w:val="21"/>
                <w:szCs w:val="21"/>
              </w:rPr>
            </w:pPr>
            <w:r>
              <w:rPr>
                <w:color w:val="333333"/>
                <w:sz w:val="21"/>
                <w:szCs w:val="21"/>
              </w:rPr>
              <w:t xml:space="preserve">Indicator 3.3.3: Malaria incidence per 1,000 population. </w:t>
            </w:r>
          </w:p>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1"/>
              <w:rPr>
                <w:rStyle w:val="57"/>
              </w:rPr>
            </w:pPr>
            <w:r>
              <w:rPr>
                <w:rStyle w:val="56"/>
              </w:rPr>
              <w:t>Global Malaria Programme at World Health Organization (WHO).</w:t>
            </w:r>
            <w:r>
              <w:rPr>
                <w:rStyle w:val="57"/>
              </w:rPr>
              <w:t> </w:t>
            </w:r>
          </w:p>
          <w:p>
            <w:pPr>
              <w:shd w:val="clear" w:color="auto" w:fill="FFFFFF"/>
              <w:spacing w:after="0"/>
              <w:rPr>
                <w:rFonts w:eastAsia="Times New Roman" w:cs="Times New Roman"/>
                <w:color w:val="4A4A4A"/>
                <w:sz w:val="21"/>
                <w:szCs w:val="21"/>
                <w:lang w:eastAsia="en-GB"/>
              </w:rPr>
            </w:pPr>
          </w:p>
          <w:p/>
        </w:tc>
      </w:tr>
      <w:permEnd w:id="11"/>
    </w:tbl>
    <w:p/>
    <w:tbl>
      <w:tblPr>
        <w:tblStyle w:val="5"/>
        <w:tblW w:w="4750" w:type="pct"/>
        <w:tblInd w:w="0" w:type="dxa"/>
        <w:tblLayout w:type="fixed"/>
        <w:tblCellMar>
          <w:top w:w="0" w:type="dxa"/>
          <w:left w:w="108" w:type="dxa"/>
          <w:bottom w:w="0" w:type="dxa"/>
          <w:right w:w="108" w:type="dxa"/>
        </w:tblCellMar>
      </w:tblPr>
      <w:tblGrid>
        <w:gridCol w:w="3257"/>
        <w:gridCol w:w="5840"/>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7932744"/>
            <w:bookmarkStart w:id="10" w:name="_Toc36812572"/>
            <w:bookmarkStart w:id="11" w:name="_Toc36812685"/>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Ministry of Health</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Ind w:w="0" w:type="dxa"/>
        <w:tblLayout w:type="fixed"/>
        <w:tblCellMar>
          <w:top w:w="0" w:type="dxa"/>
          <w:left w:w="108" w:type="dxa"/>
          <w:bottom w:w="0" w:type="dxa"/>
          <w:right w:w="108" w:type="dxa"/>
        </w:tblCellMar>
      </w:tblPr>
      <w:tblGrid>
        <w:gridCol w:w="3189"/>
        <w:gridCol w:w="5908"/>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2573"/>
            <w:bookmarkStart w:id="15" w:name="_Toc36655610"/>
            <w:bookmarkStart w:id="16" w:name="_Toc36812686"/>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r>
              <w:t>Malaria is a life-threatening disease caused by parasites that are transmitted to people through the bites of infected female </w:t>
            </w:r>
            <w:r>
              <w:rPr>
                <w:rStyle w:val="10"/>
              </w:rPr>
              <w:t>Anopheles</w:t>
            </w:r>
            <w:r>
              <w:t> mosquitoes. It is preventable and curable. There are 5 parasite species that cause malaria in humans, and 2 of these species – </w:t>
            </w:r>
            <w:r>
              <w:rPr>
                <w:rStyle w:val="10"/>
              </w:rPr>
              <w:t>Plasmodium falciparum</w:t>
            </w:r>
            <w:r>
              <w:t> and </w:t>
            </w:r>
            <w:r>
              <w:rPr>
                <w:rStyle w:val="10"/>
              </w:rPr>
              <w:t>Plasmodium vivax</w:t>
            </w:r>
            <w:r>
              <w:t> – pose the greatest threat. </w:t>
            </w:r>
          </w:p>
          <w:p>
            <w:r>
              <w:t>Case of malaria is defined as the occurrence of malaria infection in a person whom the presence of malaria parasites in the blood has been confirmed by a diagnostic test. The population considered is the population at risk of the disease.</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 1,000 population</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rPr>
                <w:rFonts w:ascii="Sitka Subheading" w:hAnsi="Sitka Subheading" w:eastAsia="Times New Roman" w:cs="Arial"/>
                <w:i/>
                <w:sz w:val="20"/>
                <w:szCs w:val="20"/>
                <w:lang w:val="en-GB" w:eastAsia="en-GB"/>
              </w:rPr>
              <w:t>MOH, Holistic Assessment of Health Sector Programme of Work, 2018</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Ministry of Health.</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3075"/>
            <w:bookmarkStart w:id="22" w:name="_Toc36812575"/>
            <w:bookmarkStart w:id="23" w:name="_Toc36812688"/>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20"/>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To measure trends in malaria morbidity and to identify locations where the risk of disease is highest. With this information, programmes can respond to unusual trends, such as epidemics, and direct</w:t>
            </w:r>
          </w:p>
          <w:p>
            <w:pPr>
              <w:pStyle w:val="20"/>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resources to the populations most in need. These data also serves to inform global resource allocation for malaria such as when defining eligibility criteria for Global Fund finance.</w:t>
            </w:r>
          </w:p>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Complete data on malaria cases reported through surveillance systems are the best source of data but are rarely available for large populations. Reported data on malaria cases generally need to be corrected for extent of health service use, incompleteness of reporting and lack of case confirmation. In high transmission areas with limited health service data but with good data on parasite prevalence the number of cases can be estimated from parasite prevalence. The denominator is estimated, using risk mapping and population data.</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bookmarkStart w:id="38" w:name="_GoBack"/>
            <w:bookmarkEnd w:id="38"/>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6655613"/>
            <w:bookmarkStart w:id="27" w:name="_Toc36812576"/>
            <w:bookmarkStart w:id="28" w:name="_Toc37932748"/>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US"/>
              </w:rPr>
            </w:pPr>
            <w:r>
              <w:rPr>
                <w:rFonts w:hint="default"/>
                <w:lang w:val="en-US"/>
              </w:rPr>
              <w:t>The data has not been disaggregated</w:t>
            </w:r>
          </w:p>
        </w:tc>
      </w:tr>
      <w:permEnd w:id="44"/>
    </w:tbl>
    <w:p/>
    <w:tbl>
      <w:tblPr>
        <w:tblStyle w:val="5"/>
        <w:tblW w:w="4833" w:type="pct"/>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t>https://www.who.int/health-topics/malaria#tab=tab_1</w:t>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3"/>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2"/>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2"/>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2"/>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2"/>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2"/>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2"/>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2"/>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2"/>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2"/>
        <w:rPr>
          <w:sz w:val="22"/>
          <w:szCs w:val="22"/>
        </w:rPr>
      </w:pPr>
    </w:p>
    <w:p>
      <w:pPr>
        <w:pStyle w:val="12"/>
        <w:rPr>
          <w:sz w:val="22"/>
          <w:szCs w:val="22"/>
        </w:rPr>
      </w:pPr>
    </w:p>
    <w:p>
      <w:pPr>
        <w:pStyle w:val="12"/>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2"/>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5" w:name="_Toc37932753"/>
      <w:bookmarkStart w:id="36" w:name="Mapping"/>
      <w:r>
        <w:rPr>
          <w:sz w:val="28"/>
          <w:szCs w:val="28"/>
        </w:rPr>
        <w:t>B. Mapping of SDMX Detailed Concepts to IAEG-SDG File Format</w:t>
      </w:r>
      <w:bookmarkEnd w:id="35"/>
    </w:p>
    <w:bookmarkEnd w:id="36"/>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7" w:name="_Toc37932754"/>
      <w:r>
        <w:rPr>
          <w:sz w:val="28"/>
          <w:szCs w:val="28"/>
        </w:rPr>
        <w:t>C. Mapping of IAEG-SDG File Format to SDMX Detailed Concepts</w:t>
      </w:r>
      <w:bookmarkEnd w:id="37"/>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Sitka Subheading">
    <w:panose1 w:val="00000000000000000000"/>
    <w:charset w:val="00"/>
    <w:family w:val="auto"/>
    <w:pitch w:val="default"/>
    <w:sig w:usb0="A00002EF" w:usb1="4000204B" w:usb2="00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4"/>
          <w:jc w:val="right"/>
        </w:pPr>
        <w:r>
          <w:fldChar w:fldCharType="begin"/>
        </w:r>
        <w:r>
          <w:instrText xml:space="preserve"> PAGE   \* MERGEFORMAT </w:instrText>
        </w:r>
        <w:r>
          <w:fldChar w:fldCharType="separate"/>
        </w:r>
        <w:r>
          <w:t>2</w:t>
        </w:r>
        <w:r>
          <w:fldChar w:fldCharType="end"/>
        </w:r>
      </w:p>
    </w:sdtContent>
  </w:sdt>
  <w:p>
    <w:pPr>
      <w:pStyle w:val="1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4"/>
          <w:jc w:val="right"/>
        </w:pPr>
        <w:r>
          <w:fldChar w:fldCharType="begin"/>
        </w:r>
        <w:r>
          <w:instrText xml:space="preserve"> PAGE   \* MERGEFORMAT </w:instrText>
        </w:r>
        <w:r>
          <w:fldChar w:fldCharType="separate"/>
        </w:r>
        <w:r>
          <w:t>1</w:t>
        </w:r>
        <w:r>
          <w:fldChar w:fldCharType="end"/>
        </w:r>
      </w:p>
    </w:sdtContent>
  </w:sdt>
  <w:p>
    <w:pPr>
      <w:pStyle w:val="14"/>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7"/>
        <w:rPr>
          <w:lang w:val="en-US"/>
        </w:rPr>
      </w:pPr>
      <w:r>
        <w:rPr>
          <w:rStyle w:val="15"/>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62"/>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2"/>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A29"/>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B498A"/>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96037"/>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D7E86"/>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66ECF"/>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21884A54"/>
    <w:rsid w:val="6A69674E"/>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qFormat="1" w:uiPriority="99" w:name="annotation text"/>
    <w:lsdException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5"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5"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5"/>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8"/>
    <w:semiHidden/>
    <w:unhideWhenUsed/>
    <w:qFormat/>
    <w:uiPriority w:val="99"/>
    <w:pPr>
      <w:spacing w:line="240" w:lineRule="auto"/>
    </w:pPr>
    <w:rPr>
      <w:sz w:val="20"/>
      <w:szCs w:val="20"/>
    </w:rPr>
  </w:style>
  <w:style w:type="paragraph" w:styleId="9">
    <w:name w:val="annotation subject"/>
    <w:basedOn w:val="8"/>
    <w:next w:val="8"/>
    <w:link w:val="49"/>
    <w:semiHidden/>
    <w:unhideWhenUsed/>
    <w:qFormat/>
    <w:uiPriority w:val="99"/>
    <w:rPr>
      <w:b/>
      <w:bCs/>
    </w:rPr>
  </w:style>
  <w:style w:type="character" w:styleId="10">
    <w:name w:val="Emphasis"/>
    <w:basedOn w:val="4"/>
    <w:qFormat/>
    <w:uiPriority w:val="20"/>
    <w:rPr>
      <w:i/>
      <w:iCs/>
    </w:rPr>
  </w:style>
  <w:style w:type="character" w:styleId="11">
    <w:name w:val="endnote reference"/>
    <w:basedOn w:val="4"/>
    <w:semiHidden/>
    <w:unhideWhenUsed/>
    <w:uiPriority w:val="99"/>
    <w:rPr>
      <w:vertAlign w:val="superscript"/>
    </w:rPr>
  </w:style>
  <w:style w:type="paragraph" w:styleId="12">
    <w:name w:val="endnote text"/>
    <w:basedOn w:val="1"/>
    <w:link w:val="51"/>
    <w:unhideWhenUsed/>
    <w:qFormat/>
    <w:uiPriority w:val="99"/>
    <w:pPr>
      <w:spacing w:after="0" w:line="240" w:lineRule="auto"/>
    </w:pPr>
    <w:rPr>
      <w:sz w:val="20"/>
      <w:szCs w:val="20"/>
    </w:rPr>
  </w:style>
  <w:style w:type="character" w:styleId="13">
    <w:name w:val="FollowedHyperlink"/>
    <w:basedOn w:val="4"/>
    <w:semiHidden/>
    <w:unhideWhenUsed/>
    <w:qFormat/>
    <w:uiPriority w:val="99"/>
    <w:rPr>
      <w:color w:val="954F72" w:themeColor="followedHyperlink"/>
      <w:u w:val="single"/>
    </w:rPr>
  </w:style>
  <w:style w:type="paragraph" w:styleId="14">
    <w:name w:val="footer"/>
    <w:basedOn w:val="1"/>
    <w:link w:val="46"/>
    <w:unhideWhenUsed/>
    <w:qFormat/>
    <w:uiPriority w:val="99"/>
    <w:pPr>
      <w:tabs>
        <w:tab w:val="center" w:pos="4680"/>
        <w:tab w:val="right" w:pos="9360"/>
      </w:tabs>
      <w:spacing w:after="0" w:line="240" w:lineRule="auto"/>
    </w:pPr>
  </w:style>
  <w:style w:type="character" w:styleId="15">
    <w:name w:val="footnote reference"/>
    <w:basedOn w:val="4"/>
    <w:link w:val="16"/>
    <w:unhideWhenUsed/>
    <w:qFormat/>
    <w:uiPriority w:val="99"/>
    <w:rPr>
      <w:vertAlign w:val="superscript"/>
    </w:rPr>
  </w:style>
  <w:style w:type="paragraph" w:customStyle="1" w:styleId="16">
    <w:name w:val="BVI fnr Char1 Char Char Char Char Char"/>
    <w:basedOn w:val="1"/>
    <w:link w:val="15"/>
    <w:qFormat/>
    <w:uiPriority w:val="99"/>
    <w:pPr>
      <w:spacing w:line="240" w:lineRule="exact"/>
      <w:jc w:val="both"/>
    </w:pPr>
    <w:rPr>
      <w:vertAlign w:val="superscript"/>
    </w:rPr>
  </w:style>
  <w:style w:type="paragraph" w:styleId="17">
    <w:name w:val="footnote text"/>
    <w:basedOn w:val="1"/>
    <w:link w:val="43"/>
    <w:semiHidden/>
    <w:unhideWhenUsed/>
    <w:uiPriority w:val="99"/>
    <w:pPr>
      <w:spacing w:after="0" w:line="240" w:lineRule="auto"/>
    </w:pPr>
    <w:rPr>
      <w:rFonts w:eastAsiaTheme="minorEastAsia"/>
      <w:sz w:val="20"/>
      <w:szCs w:val="20"/>
      <w:lang w:val="en-GB" w:eastAsia="zh-CN"/>
    </w:rPr>
  </w:style>
  <w:style w:type="paragraph" w:styleId="18">
    <w:name w:val="header"/>
    <w:basedOn w:val="1"/>
    <w:link w:val="35"/>
    <w:unhideWhenUsed/>
    <w:uiPriority w:val="99"/>
    <w:pPr>
      <w:tabs>
        <w:tab w:val="center" w:pos="4513"/>
        <w:tab w:val="right" w:pos="9026"/>
      </w:tabs>
      <w:spacing w:after="0" w:line="240" w:lineRule="auto"/>
    </w:pPr>
    <w:rPr>
      <w:rFonts w:eastAsiaTheme="minorEastAsia"/>
      <w:lang w:val="en-GB" w:eastAsia="zh-CN"/>
    </w:rPr>
  </w:style>
  <w:style w:type="character" w:styleId="19">
    <w:name w:val="Hyperlink"/>
    <w:basedOn w:val="4"/>
    <w:unhideWhenUsed/>
    <w:qFormat/>
    <w:uiPriority w:val="99"/>
    <w:rPr>
      <w:color w:val="0563C1" w:themeColor="hyperlink"/>
      <w:u w:val="single"/>
    </w:rPr>
  </w:style>
  <w:style w:type="paragraph" w:styleId="20">
    <w:name w:val="Normal (Web)"/>
    <w:semiHidden/>
    <w:unhideWhenUsed/>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1">
    <w:name w:val="Subtitle"/>
    <w:basedOn w:val="1"/>
    <w:next w:val="1"/>
    <w:link w:val="30"/>
    <w:qFormat/>
    <w:uiPriority w:val="11"/>
    <w:rPr>
      <w:rFonts w:eastAsiaTheme="minorEastAsia"/>
      <w:color w:val="595959" w:themeColor="text1" w:themeTint="A5"/>
      <w:spacing w:val="15"/>
    </w:rPr>
  </w:style>
  <w:style w:type="table" w:styleId="22">
    <w:name w:val="Table Grid"/>
    <w:basedOn w:val="5"/>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qFormat/>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4"/>
    <w:link w:val="2"/>
    <w:qFormat/>
    <w:uiPriority w:val="9"/>
    <w:rPr>
      <w:rFonts w:asciiTheme="majorHAnsi" w:hAnsiTheme="majorHAnsi" w:eastAsiaTheme="majorEastAsia" w:cstheme="majorBidi"/>
      <w:color w:val="2E75B5" w:themeColor="accent1" w:themeShade="BF"/>
      <w:sz w:val="32"/>
      <w:szCs w:val="32"/>
    </w:rPr>
  </w:style>
  <w:style w:type="paragraph" w:customStyle="1" w:styleId="28">
    <w:name w:val="TOC Heading"/>
    <w:basedOn w:val="2"/>
    <w:next w:val="1"/>
    <w:unhideWhenUsed/>
    <w:qFormat/>
    <w:uiPriority w:val="39"/>
    <w:pPr>
      <w:outlineLvl w:val="9"/>
    </w:pPr>
  </w:style>
  <w:style w:type="character" w:customStyle="1" w:styleId="29">
    <w:name w:val="Title Char"/>
    <w:basedOn w:val="4"/>
    <w:link w:val="23"/>
    <w:qFormat/>
    <w:uiPriority w:val="10"/>
    <w:rPr>
      <w:rFonts w:asciiTheme="majorHAnsi" w:hAnsiTheme="majorHAnsi" w:eastAsiaTheme="majorEastAsia" w:cstheme="majorBidi"/>
      <w:spacing w:val="-10"/>
      <w:kern w:val="28"/>
      <w:sz w:val="56"/>
      <w:szCs w:val="56"/>
    </w:rPr>
  </w:style>
  <w:style w:type="character" w:customStyle="1" w:styleId="30">
    <w:name w:val="Subtitle Char"/>
    <w:basedOn w:val="4"/>
    <w:link w:val="21"/>
    <w:qFormat/>
    <w:uiPriority w:val="11"/>
    <w:rPr>
      <w:rFonts w:eastAsiaTheme="minorEastAsia"/>
      <w:color w:val="595959" w:themeColor="text1" w:themeTint="A5"/>
      <w:spacing w:val="15"/>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4"/>
    <w:link w:val="31"/>
    <w:qFormat/>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4"/>
    <w:link w:val="33"/>
    <w:qFormat/>
    <w:uiPriority w:val="0"/>
    <w:rPr>
      <w:rFonts w:eastAsia="Times New Roman" w:cs="Times New Roman"/>
      <w:color w:val="1C75BC"/>
      <w:shd w:val="clear" w:color="auto" w:fill="F5F5F5"/>
      <w:lang w:val="en-GB" w:eastAsia="en-GB"/>
    </w:rPr>
  </w:style>
  <w:style w:type="character" w:customStyle="1" w:styleId="35">
    <w:name w:val="Header Char"/>
    <w:basedOn w:val="4"/>
    <w:link w:val="18"/>
    <w:qFormat/>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4"/>
    <w:link w:val="36"/>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5"/>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4"/>
    <w:link w:val="39"/>
    <w:qFormat/>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4"/>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4"/>
    <w:link w:val="17"/>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4"/>
    <w:link w:val="6"/>
    <w:semiHidden/>
    <w:uiPriority w:val="99"/>
    <w:rPr>
      <w:rFonts w:ascii="Segoe UI" w:hAnsi="Segoe UI" w:cs="Segoe UI"/>
      <w:sz w:val="18"/>
      <w:szCs w:val="18"/>
    </w:rPr>
  </w:style>
  <w:style w:type="character" w:customStyle="1" w:styleId="46">
    <w:name w:val="Footer Char"/>
    <w:basedOn w:val="4"/>
    <w:link w:val="14"/>
    <w:qFormat/>
    <w:uiPriority w:val="99"/>
  </w:style>
  <w:style w:type="character" w:customStyle="1" w:styleId="47">
    <w:name w:val="Unresolved Mention1"/>
    <w:basedOn w:val="4"/>
    <w:semiHidden/>
    <w:unhideWhenUsed/>
    <w:qFormat/>
    <w:uiPriority w:val="99"/>
    <w:rPr>
      <w:color w:val="605E5C"/>
      <w:shd w:val="clear" w:color="auto" w:fill="E1DFDD"/>
    </w:rPr>
  </w:style>
  <w:style w:type="character" w:customStyle="1" w:styleId="48">
    <w:name w:val="Comment Text Char"/>
    <w:basedOn w:val="4"/>
    <w:link w:val="8"/>
    <w:semiHidden/>
    <w:uiPriority w:val="99"/>
    <w:rPr>
      <w:sz w:val="20"/>
      <w:szCs w:val="20"/>
    </w:rPr>
  </w:style>
  <w:style w:type="character" w:customStyle="1" w:styleId="49">
    <w:name w:val="Comment Subject Char"/>
    <w:basedOn w:val="48"/>
    <w:link w:val="9"/>
    <w:semiHidden/>
    <w:qFormat/>
    <w:uiPriority w:val="99"/>
    <w:rPr>
      <w:b/>
      <w:bCs/>
      <w:sz w:val="20"/>
      <w:szCs w:val="20"/>
    </w:rPr>
  </w:style>
  <w:style w:type="character" w:styleId="50">
    <w:name w:val="Placeholder Text"/>
    <w:basedOn w:val="4"/>
    <w:semiHidden/>
    <w:qFormat/>
    <w:uiPriority w:val="99"/>
    <w:rPr>
      <w:color w:val="808080"/>
    </w:rPr>
  </w:style>
  <w:style w:type="character" w:customStyle="1" w:styleId="51">
    <w:name w:val="Endnote Text Char"/>
    <w:basedOn w:val="4"/>
    <w:link w:val="12"/>
    <w:qFormat/>
    <w:uiPriority w:val="99"/>
    <w:rPr>
      <w:sz w:val="20"/>
      <w:szCs w:val="20"/>
    </w:rPr>
  </w:style>
  <w:style w:type="character" w:customStyle="1" w:styleId="52">
    <w:name w:val="Heading 2 Char"/>
    <w:basedOn w:val="4"/>
    <w:link w:val="3"/>
    <w:uiPriority w:val="9"/>
    <w:rPr>
      <w:rFonts w:asciiTheme="majorHAnsi" w:hAnsiTheme="majorHAnsi" w:eastAsiaTheme="majorEastAsia" w:cstheme="majorBidi"/>
      <w:color w:val="2E75B5" w:themeColor="accent1" w:themeShade="BF"/>
      <w:sz w:val="26"/>
      <w:szCs w:val="26"/>
    </w:rPr>
  </w:style>
  <w:style w:type="paragraph" w:customStyle="1" w:styleId="53">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4">
    <w:name w:val="Unresolved Mention"/>
    <w:basedOn w:val="4"/>
    <w:semiHidden/>
    <w:unhideWhenUsed/>
    <w:qFormat/>
    <w:uiPriority w:val="99"/>
    <w:rPr>
      <w:color w:val="605E5C"/>
      <w:shd w:val="clear" w:color="auto" w:fill="E1DFDD"/>
    </w:rPr>
  </w:style>
  <w:style w:type="character" w:customStyle="1" w:styleId="55">
    <w:name w:val="hidden-sm"/>
    <w:basedOn w:val="4"/>
    <w:qFormat/>
    <w:uiPriority w:val="0"/>
  </w:style>
  <w:style w:type="character" w:customStyle="1" w:styleId="56">
    <w:name w:val="normaltextrun"/>
    <w:basedOn w:val="4"/>
    <w:uiPriority w:val="0"/>
  </w:style>
  <w:style w:type="character" w:customStyle="1" w:styleId="57">
    <w:name w:val="eop"/>
    <w:basedOn w:val="4"/>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9" Type="http://schemas.openxmlformats.org/officeDocument/2006/relationships/glossaryDocument" Target="glossary/document.xml"/><Relationship Id="rId18" Type="http://schemas.openxmlformats.org/officeDocument/2006/relationships/fontTable" Target="fontTable.xml"/><Relationship Id="rId17" Type="http://schemas.microsoft.com/office/2006/relationships/vbaProject" Target="vbaProject.bin"/><Relationship Id="rId16" Type="http://schemas.openxmlformats.org/officeDocument/2006/relationships/customXml" Target="../customXml/item4.xml"/><Relationship Id="rId15" Type="http://schemas.openxmlformats.org/officeDocument/2006/relationships/customXml" Target="../customXml/item3.xml"/><Relationship Id="rId14" Type="http://schemas.openxmlformats.org/officeDocument/2006/relationships/customXml" Target="../customXml/item2.xml"/><Relationship Id="rId13" Type="http://schemas.openxmlformats.org/officeDocument/2006/relationships/customXml" Target="../customXml/item1.xml"/><Relationship Id="rId12" Type="http://schemas.openxmlformats.org/officeDocument/2006/relationships/control" Target="activeX/activeX4.xml"/><Relationship Id="rId11" Type="http://schemas.openxmlformats.org/officeDocument/2006/relationships/control" Target="activeX/activeX3.xml"/><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2"/>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5310FD"/>
    <w:rsid w:val="006153AA"/>
    <w:rsid w:val="0064052E"/>
    <w:rsid w:val="00650D09"/>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215692</Words>
  <Characters>1229449</Characters>
  <Lines>10245</Lines>
  <Paragraphs>2884</Paragraphs>
  <TotalTime>73</TotalTime>
  <ScaleCrop>false</ScaleCrop>
  <LinksUpToDate>false</LinksUpToDate>
  <CharactersWithSpaces>1442257</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2021-10-18T12:29:00Z</dcterms:created>
  <dc:creator>Fanning, Stephen B (JMD)</dc:creator>
  <cp:lastModifiedBy>origi</cp:lastModifiedBy>
  <cp:lastPrinted>2020-04-16T14:23:00Z</cp:lastPrinted>
  <dcterms:modified xsi:type="dcterms:W3CDTF">2022-09-22T16:09:13Z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AE24C03E489C487DAAD4787FDCE108BA</vt:lpwstr>
  </property>
</Properties>
</file>