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1.a.2 Proportion of total government spending on essential services, education [1.a.2] (SD_XPD_ESED)</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655608"/>
            <w:bookmarkStart w:id="5" w:name="_Toc37932743"/>
            <w:bookmarkStart w:id="6" w:name="_Toc36812684"/>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rPr>
                <w:sz w:val="22"/>
                <w:szCs w:val="22"/>
              </w:rPr>
              <w:fldChar w:fldCharType="begin"/>
            </w:r>
            <w:r>
              <w:rPr>
                <w:sz w:val="22"/>
                <w:szCs w:val="22"/>
              </w:rPr>
              <w:instrText xml:space="preserve"> HYPERLINK "https://sustainabledevelopment-ghana.github.io/no-poverty" </w:instrText>
            </w:r>
            <w:r>
              <w:rPr>
                <w:sz w:val="22"/>
                <w:szCs w:val="22"/>
              </w:rPr>
              <w:fldChar w:fldCharType="separate"/>
            </w:r>
            <w:r>
              <w:rPr>
                <w:rStyle w:val="55"/>
                <w:rFonts w:asciiTheme="minorHAnsi" w:hAnsiTheme="minorHAnsi" w:cstheme="minorHAnsi"/>
                <w:color w:val="auto"/>
                <w:sz w:val="22"/>
                <w:szCs w:val="22"/>
              </w:rPr>
              <w:t xml:space="preserve">Goal 1: </w:t>
            </w:r>
            <w:r>
              <w:rPr>
                <w:rStyle w:val="18"/>
                <w:rFonts w:asciiTheme="minorHAnsi" w:hAnsiTheme="minorHAnsi" w:cstheme="minorHAnsi"/>
                <w:color w:val="auto"/>
                <w:sz w:val="22"/>
                <w:szCs w:val="22"/>
                <w:u w:val="none"/>
              </w:rPr>
              <w:t xml:space="preserve">End poverty in all its forms everywhere </w:t>
            </w:r>
            <w:r>
              <w:rPr>
                <w:rStyle w:val="18"/>
                <w:rFonts w:asciiTheme="minorHAnsi" w:hAnsiTheme="minorHAnsi" w:cstheme="minorHAnsi"/>
                <w:color w:val="auto"/>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1"/>
              <w:rPr>
                <w:sz w:val="22"/>
                <w:szCs w:val="22"/>
              </w:rPr>
            </w:pPr>
            <w:r>
              <w:rPr>
                <w:sz w:val="22"/>
                <w:szCs w:val="22"/>
              </w:rPr>
              <w:t>Target 1.a: Ensure significant mobilization of resources from a variety of sources, including through enhanced development cooperation, in order to provide adequate and predictable means for developing countries, in particular least developed countries, to implement programmes and policies to end poverty in all its dimensions</w:t>
            </w:r>
            <w:bookmarkStart w:id="38" w:name="_GoBack"/>
            <w:bookmarkEnd w:id="38"/>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1.a.2: Proportion of total government spending on essential services (education, health and social protection)</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r>
              <w:rPr>
                <w:rFonts w:hint="default" w:eastAsia="Helvetica" w:cs="Helvetica" w:asciiTheme="minorAscii" w:hAnsiTheme="minorAscii"/>
                <w:i w:val="0"/>
                <w:iCs w:val="0"/>
                <w:caps w:val="0"/>
                <w:color w:val="0B0C0C"/>
                <w:spacing w:val="0"/>
                <w:sz w:val="22"/>
                <w:szCs w:val="22"/>
                <w:shd w:val="clear" w:fill="FFFFFF"/>
              </w:rPr>
              <w:t>Proportion of total government spending on health [1.a.2]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rPr>
                <w:color w:val="4A4A4A"/>
              </w:rPr>
            </w:pPr>
            <w:r>
              <w:t>UNESCO Institute for Statistics (UNESCO-UIS)</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2685"/>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Ministry of Finance, Ministry of Health</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7932745"/>
            <w:bookmarkStart w:id="15" w:name="_Toc36655610"/>
            <w:bookmarkStart w:id="16" w:name="_Toc36812686"/>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Style w:val="20"/>
                <w:rFonts w:cs="Times New Roman"/>
                <w:color w:val="4A4A4A"/>
                <w:sz w:val="22"/>
                <w:szCs w:val="22"/>
              </w:rPr>
            </w:pPr>
            <w:r>
              <w:rPr>
                <w:rStyle w:val="20"/>
                <w:rFonts w:cs="Times New Roman"/>
                <w:color w:val="4A4A4A"/>
                <w:sz w:val="22"/>
                <w:szCs w:val="22"/>
              </w:rPr>
              <w:t>Definition:</w:t>
            </w:r>
          </w:p>
          <w:p>
            <w:pPr>
              <w:shd w:val="clear" w:color="auto" w:fill="FFFFFF"/>
              <w:spacing w:after="0"/>
              <w:rPr>
                <w:rFonts w:cs="Times New Roman"/>
                <w:color w:val="4A4A4A"/>
                <w:sz w:val="22"/>
                <w:szCs w:val="22"/>
              </w:rPr>
            </w:pPr>
            <w:r>
              <w:rPr>
                <w:color w:val="4A4A4A"/>
                <w:sz w:val="22"/>
                <w:szCs w:val="22"/>
              </w:rPr>
              <w:t>Total general (local, regional and central) government expenditure on education (current, capital, and transfers), expressed as a percentage of total general government expenditure on all sectors (including health, education, social services, etc.). It includes expenditure funded by transfers from international sources to the government.</w:t>
            </w:r>
          </w:p>
          <w:p>
            <w:pPr>
              <w:pStyle w:val="56"/>
              <w:shd w:val="clear" w:color="auto" w:fill="FFFFFF"/>
              <w:spacing w:before="0" w:beforeAutospacing="0" w:after="0" w:afterAutospacing="0"/>
              <w:rPr>
                <w:rFonts w:asciiTheme="minorHAnsi" w:hAnsiTheme="minorHAnsi"/>
                <w:color w:val="4A4A4A"/>
                <w:sz w:val="22"/>
                <w:szCs w:val="22"/>
              </w:rPr>
            </w:pPr>
          </w:p>
          <w:p>
            <w:pPr>
              <w:shd w:val="clear" w:color="auto" w:fill="FFFFFF"/>
              <w:spacing w:after="0"/>
              <w:rPr>
                <w:rFonts w:cs="Times New Roman"/>
                <w:color w:val="4A4A4A"/>
                <w:sz w:val="22"/>
                <w:szCs w:val="22"/>
              </w:rPr>
            </w:pPr>
            <w:r>
              <w:rPr>
                <w:rStyle w:val="20"/>
                <w:rFonts w:cs="Times New Roman"/>
                <w:color w:val="4A4A4A"/>
                <w:sz w:val="22"/>
                <w:szCs w:val="22"/>
              </w:rPr>
              <w:t>Concepts:</w:t>
            </w:r>
          </w:p>
          <w:p>
            <w:pPr>
              <w:pStyle w:val="56"/>
              <w:shd w:val="clear" w:color="auto" w:fill="FFFFFF"/>
              <w:spacing w:before="0" w:beforeAutospacing="0" w:after="0" w:afterAutospacing="0"/>
              <w:rPr>
                <w:rFonts w:asciiTheme="minorHAnsi" w:hAnsiTheme="minorHAnsi"/>
                <w:color w:val="4A4A4A"/>
                <w:sz w:val="22"/>
                <w:szCs w:val="22"/>
              </w:rPr>
            </w:pPr>
            <w:r>
              <w:rPr>
                <w:rFonts w:asciiTheme="minorHAnsi" w:hAnsiTheme="minorHAnsi"/>
                <w:color w:val="4A4A4A"/>
                <w:sz w:val="22"/>
                <w:szCs w:val="22"/>
              </w:rPr>
              <w:t>Government expenditure on education covers educational expenditure by all levels of government (local, regional, central) on the formal education system, from early childhood to tertiary education, in both public and private instructional and non-instructional institutions within the borders of a country.</w:t>
            </w:r>
          </w:p>
          <w:p>
            <w:pPr>
              <w:pStyle w:val="56"/>
              <w:shd w:val="clear" w:color="auto" w:fill="FFFFFF"/>
              <w:spacing w:after="0"/>
              <w:rPr>
                <w:rFonts w:asciiTheme="minorHAnsi" w:hAnsiTheme="minorHAnsi"/>
                <w:color w:val="4A4A4A"/>
                <w:sz w:val="22"/>
                <w:szCs w:val="22"/>
              </w:rPr>
            </w:pPr>
            <w:r>
              <w:rPr>
                <w:rFonts w:asciiTheme="minorHAnsi" w:hAnsiTheme="minorHAnsi"/>
                <w:color w:val="4A4A4A"/>
                <w:sz w:val="22"/>
                <w:szCs w:val="22"/>
              </w:rPr>
              <w:t>Expenditure on education includes expenditure on core educational goods and services, such as teaching staff, school buildings, or school books and teaching materials, and peripheral educational goods and services such as ancillary services, general administration and other activities.</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rFonts w:hint="default"/>
                <w:lang w:val="en-US"/>
              </w:rPr>
              <w:t>P</w:t>
            </w:r>
            <w:r>
              <w:t>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hint="default" w:eastAsia="Calibri" w:cs="Arial" w:asciiTheme="minorAscii" w:hAnsiTheme="minorAscii"/>
                <w:i/>
                <w:iCs/>
                <w:sz w:val="22"/>
                <w:szCs w:val="22"/>
              </w:rPr>
              <w:t>2019 Programme Based Budgets of Ministry; 2019 Programme Based Budgets of Ministry of Health</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Ministry of Health</w:t>
            </w:r>
          </w:p>
          <w:p>
            <w:r>
              <w:t>Ministry of Finance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2688"/>
            <w:bookmarkStart w:id="22" w:name="_Toc36655612"/>
            <w:bookmarkStart w:id="23" w:name="_Toc368130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Theme="minorAscii" w:hAnsiTheme="minorAscii" w:eastAsiaTheme="minorEastAsia" w:cstheme="minorEastAsia"/>
                <w:i w:val="0"/>
                <w:iCs w:val="0"/>
                <w:caps w:val="0"/>
                <w:color w:val="000000"/>
                <w:spacing w:val="0"/>
                <w:sz w:val="22"/>
                <w:szCs w:val="22"/>
              </w:rPr>
            </w:pPr>
            <w:r>
              <w:rPr>
                <w:rFonts w:hint="default" w:asciiTheme="minorAscii" w:hAnsiTheme="minorAscii" w:eastAsiaTheme="minorEastAsia" w:cstheme="minorEastAsia"/>
                <w:i w:val="0"/>
                <w:iCs w:val="0"/>
                <w:caps w:val="0"/>
                <w:color w:val="000000"/>
                <w:spacing w:val="0"/>
                <w:sz w:val="22"/>
                <w:szCs w:val="22"/>
              </w:rPr>
              <w:t>The indicator measures the extent to which public spending in three key areas which are critical for poverty eradication, including health, education, and other direct transfers is directly allocated to individuals or households in the monetary poor as per the national definition.</w:t>
            </w:r>
          </w:p>
          <w:p>
            <w:pPr>
              <w:pStyle w:val="19"/>
              <w:keepNext w:val="0"/>
              <w:keepLines w:val="0"/>
              <w:widowControl/>
              <w:suppressLineNumbers w:val="0"/>
              <w:ind w:left="0" w:firstLine="0"/>
              <w:rPr>
                <w:rFonts w:hint="default" w:asciiTheme="minorAscii" w:hAnsiTheme="minorAscii" w:eastAsiaTheme="minorEastAsia" w:cstheme="minorEastAsia"/>
                <w:i w:val="0"/>
                <w:iCs w:val="0"/>
                <w:caps w:val="0"/>
                <w:color w:val="000000"/>
                <w:spacing w:val="0"/>
                <w:sz w:val="22"/>
                <w:szCs w:val="22"/>
              </w:rPr>
            </w:pPr>
            <w:r>
              <w:rPr>
                <w:rFonts w:hint="default" w:asciiTheme="minorAscii" w:hAnsiTheme="minorAscii" w:eastAsiaTheme="minorEastAsia" w:cstheme="minorEastAsia"/>
                <w:i w:val="0"/>
                <w:iCs w:val="0"/>
                <w:caps w:val="0"/>
                <w:color w:val="000000"/>
                <w:spacing w:val="0"/>
                <w:sz w:val="22"/>
                <w:szCs w:val="22"/>
              </w:rPr>
              <w:t>The indicator measures if public spending is targeting the monetary poor. Pro-poor social spending is defined if the proportion of government expenditures on social services is higher than the proportion of the population, measured at the level determined by national definition of income/consumption poverty (consistent with SDG 1.2.1). For instance, if the proportion of public spending received by the poor exceeds (falls below) the proportion of poor as defined by national definitions, public expenditures can be interpreted as pro-poor (not pro-poor). This is a strong measurement of the financial commitment governments make to target their services and transfers on the poor groups of society, reinforcing pro-poor development strategies.</w:t>
            </w:r>
          </w:p>
          <w:p>
            <w:pPr>
              <w:pStyle w:val="19"/>
              <w:keepNext w:val="0"/>
              <w:keepLines w:val="0"/>
              <w:widowControl/>
              <w:suppressLineNumbers w:val="0"/>
              <w:ind w:left="0" w:firstLine="0"/>
              <w:rPr>
                <w:rFonts w:hint="default" w:asciiTheme="minorAscii" w:hAnsiTheme="minorAscii" w:eastAsiaTheme="minorEastAsia" w:cstheme="minorEastAsia"/>
                <w:i w:val="0"/>
                <w:iCs w:val="0"/>
                <w:caps w:val="0"/>
                <w:color w:val="000000"/>
                <w:spacing w:val="0"/>
                <w:sz w:val="22"/>
                <w:szCs w:val="22"/>
              </w:rPr>
            </w:pPr>
            <w:r>
              <w:rPr>
                <w:rFonts w:hint="default" w:asciiTheme="minorAscii" w:hAnsiTheme="minorAscii" w:eastAsiaTheme="minorEastAsia" w:cstheme="minorEastAsia"/>
                <w:i w:val="0"/>
                <w:iCs w:val="0"/>
                <w:caps w:val="0"/>
                <w:color w:val="000000"/>
                <w:spacing w:val="0"/>
                <w:sz w:val="22"/>
                <w:szCs w:val="22"/>
              </w:rPr>
              <w:t>Further developments of the methodology and improvements in data availability may allow to expand this indicator to other vulnerable groups, such as women and children.</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3076"/>
            <w:bookmarkStart w:id="27" w:name="_Toc36812576"/>
            <w:bookmarkStart w:id="28" w:name="_Toc37932748"/>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no disaggregation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7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0F52"/>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58F5"/>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061F"/>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2AB8"/>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7AA1D59"/>
    <w:rsid w:val="67140C07"/>
    <w:rsid w:val="78120DC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5"/>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7"/>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3"/>
    <w:qFormat/>
    <w:uiPriority w:val="99"/>
  </w:style>
  <w:style w:type="character" w:customStyle="1" w:styleId="47">
    <w:name w:val="Unresolved Mention1"/>
    <w:basedOn w:val="4"/>
    <w:semiHidden/>
    <w:unhideWhenUsed/>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4"/>
    <w:semiHidden/>
    <w:unhideWhenUsed/>
    <w:qFormat/>
    <w:uiPriority w:val="99"/>
    <w:rPr>
      <w:color w:val="605E5C"/>
      <w:shd w:val="clear" w:color="auto" w:fill="E1DFDD"/>
    </w:rPr>
  </w:style>
  <w:style w:type="character" w:customStyle="1" w:styleId="55">
    <w:name w:val="hidden-sm"/>
    <w:basedOn w:val="4"/>
    <w:qFormat/>
    <w:uiPriority w:val="0"/>
  </w:style>
  <w:style w:type="paragraph" w:customStyle="1" w:styleId="56">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A69BB"/>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215631</Words>
  <Characters>1229098</Characters>
  <Lines>10242</Lines>
  <Paragraphs>2883</Paragraphs>
  <TotalTime>53</TotalTime>
  <ScaleCrop>false</ScaleCrop>
  <LinksUpToDate>false</LinksUpToDate>
  <CharactersWithSpaces>1441846</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2021-10-17T22:26:00Z</dcterms:created>
  <dc:creator>Fanning, Stephen B (JMD)</dc:creator>
  <cp:lastModifiedBy>origi</cp:lastModifiedBy>
  <cp:lastPrinted>2020-04-16T14:23:00Z</cp:lastPrinted>
  <dcterms:modified xsi:type="dcterms:W3CDTF">2022-10-10T12:35:51Z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3B0A6D0BEB77450CAD0BDD65426E5E32</vt:lpwstr>
  </property>
</Properties>
</file>