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3071"/>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cstheme="minorHAnsi"/>
              </w:rPr>
            </w:pPr>
            <w: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jc w:val="both"/>
              <w:outlineLvl w:val="4"/>
            </w:pPr>
            <w:r>
              <w:rPr>
                <w:rFonts w:eastAsia="Times New Roman" w:cs="Times New Roman"/>
                <w:color w:val="333333"/>
                <w:lang w:eastAsia="en-GB"/>
              </w:rPr>
              <w:t>Target 9.1: Develop quality, reliable, sustainable and resilient infrastructure, including regional and transborder infrastructure, to support economic development and human well-being, with a focus on affordable and equitable access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9.1.2: Passenger and freight volumes, by mode of transport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Air transport, domestic passengers carried</w:t>
            </w:r>
          </w:p>
          <w:p>
            <w:pPr>
              <w:jc w:val="both"/>
              <w:rPr>
                <w:rFonts w:hint="default"/>
                <w:lang w:val="en-CA"/>
              </w:rPr>
            </w:pPr>
            <w:r>
              <w:rPr>
                <w:rFonts w:hint="default"/>
                <w:lang w:val="en-CA"/>
              </w:rPr>
              <w:t>Air transport, international passengers carried</w:t>
            </w:r>
          </w:p>
          <w:p>
            <w:pPr>
              <w:jc w:val="both"/>
              <w:rPr>
                <w:rFonts w:hint="default"/>
                <w:lang w:val="en-CA"/>
              </w:rPr>
            </w:pPr>
            <w:r>
              <w:rPr>
                <w:rFonts w:hint="default"/>
                <w:lang w:val="en-CA"/>
              </w:rPr>
              <w:t>Freight volume (tonne kilometres) [9.1.2]</w:t>
            </w:r>
          </w:p>
          <w:p>
            <w:pPr>
              <w:jc w:val="both"/>
              <w:rPr>
                <w:rFonts w:hint="default"/>
                <w:lang w:val="en-CA"/>
              </w:rPr>
            </w:pPr>
            <w:r>
              <w:rPr>
                <w:rFonts w:hint="default"/>
                <w:lang w:val="en-CA"/>
              </w:rPr>
              <w:t>Number of containers by marine transport</w:t>
            </w:r>
          </w:p>
          <w:p>
            <w:pPr>
              <w:jc w:val="both"/>
              <w:rPr>
                <w:rFonts w:hint="default"/>
                <w:lang w:val="en-CA"/>
              </w:rPr>
            </w:pPr>
            <w:r>
              <w:rPr>
                <w:rFonts w:hint="default"/>
                <w:lang w:val="en-CA"/>
              </w:rPr>
              <w:t>Passenger volume (passenger kilometres) [9.1.2]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color w:val="4A4A4A"/>
                <w:lang w:eastAsia="en-GB"/>
              </w:rPr>
              <w:t>International Civil Aviation Organization (ICAO)</w:t>
            </w:r>
          </w:p>
          <w:p>
            <w:pPr>
              <w:shd w:val="clear" w:color="auto" w:fill="FFFFFF"/>
              <w:contextualSpacing/>
              <w:rPr>
                <w:rFonts w:eastAsia="Times New Roman" w:cs="Times New Roman"/>
                <w:color w:val="4A4A4A"/>
                <w:lang w:eastAsia="en-GB"/>
              </w:rPr>
            </w:pPr>
            <w:r>
              <w:rPr>
                <w:rFonts w:eastAsia="Times New Roman" w:cs="Times New Roman"/>
                <w:color w:val="4A4A4A"/>
                <w:lang w:eastAsia="en-GB"/>
              </w:rPr>
              <w:t>International Transport Forum (ITF)</w:t>
            </w:r>
          </w:p>
          <w:p>
            <w:pPr>
              <w:shd w:val="clear" w:color="auto" w:fill="FFFFFF"/>
              <w:contextualSpacing/>
            </w:pPr>
            <w:r>
              <w:rPr>
                <w:rFonts w:eastAsia="Times New Roman" w:cs="Times New Roman"/>
                <w:color w:val="4A4A4A"/>
                <w:lang w:eastAsia="en-GB"/>
              </w:rPr>
              <w:t>United Nations Economic Commission for Europe (UNECE) United Nations Conference on Trade and Development (UNCTAD).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7932744"/>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b/>
                <w:bCs/>
                <w:color w:val="4A4A4A"/>
                <w:lang w:eastAsia="en-GB"/>
              </w:rPr>
              <w:t>Definition:</w:t>
            </w:r>
          </w:p>
          <w:p>
            <w:pPr>
              <w:shd w:val="clear" w:color="auto" w:fill="FFFFFF"/>
              <w:contextualSpacing/>
              <w:rPr>
                <w:rFonts w:eastAsia="Times New Roman" w:cs="Times New Roman"/>
                <w:color w:val="4A4A4A"/>
                <w:lang w:eastAsia="en-GB"/>
              </w:rPr>
            </w:pPr>
          </w:p>
          <w:p>
            <w:pPr>
              <w:shd w:val="clear" w:color="auto" w:fill="FFFFFF"/>
              <w:contextualSpacing/>
              <w:rPr>
                <w:rFonts w:eastAsia="Times New Roman" w:cs="Times New Roman"/>
                <w:b/>
                <w:bCs/>
                <w:color w:val="4A4A4A"/>
                <w:lang w:eastAsia="en-GB"/>
              </w:rPr>
            </w:pPr>
            <w:r>
              <w:rPr>
                <w:rFonts w:eastAsia="Times New Roman" w:cs="Times New Roman"/>
                <w:color w:val="4A4A4A"/>
                <w:lang w:eastAsia="en-GB"/>
              </w:rPr>
              <w:t xml:space="preserve">Passenger and freight volumes </w:t>
            </w:r>
            <w:r>
              <w:t>for air transport, rail transport, marine water transport, inland water transport and urban transport</w:t>
            </w:r>
            <w:r>
              <w:rPr>
                <w:rFonts w:eastAsia="Times New Roman" w:cs="Times New Roman"/>
                <w:b/>
                <w:bCs/>
                <w:color w:val="4A4A4A"/>
                <w:lang w:eastAsia="en-GB"/>
              </w:rPr>
              <w:t xml:space="preserve"> </w:t>
            </w:r>
            <w:r>
              <w:rPr>
                <w:rFonts w:eastAsia="Times New Roman" w:cs="Times New Roman"/>
                <w:color w:val="4A4A4A"/>
                <w:lang w:eastAsia="en-GB"/>
              </w:rPr>
              <w:t xml:space="preserve">are respectively measured in passenger-km and tonne-km, and broken down by mode of transport. For the purposes of monitoring this indicator, passenger-km data are split between aviation, road (broken down between passenger cars, buses and motorcycles) and rail, and tonne-km are split between aviation, road, rail and inland waterways. </w:t>
            </w:r>
          </w:p>
          <w:p>
            <w:pPr>
              <w:shd w:val="clear" w:color="auto" w:fill="FFFFFF"/>
              <w:contextualSpacing/>
            </w:pPr>
            <w:r>
              <w:rPr>
                <w:rFonts w:eastAsia="Times New Roman" w:cs="Times New Roman"/>
                <w:color w:val="4A4A4A"/>
                <w:lang w:eastAsia="en-GB"/>
              </w:rPr>
              <w:t>As maritime data are not widely available, only tonnes (rather than tonne-km) data at the regional level have been shared.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Number </w:t>
            </w:r>
          </w:p>
          <w:p>
            <w:r>
              <w:rPr>
                <w:rFonts w:hint="default"/>
                <w:lang w:val="en-CA"/>
              </w:rPr>
              <w:t>T</w:t>
            </w:r>
            <w:r>
              <w:t>onnes (in thousands)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rPr>
              <w:t>Ghana Airports Company Limited</w:t>
            </w:r>
            <w:r>
              <w:rPr>
                <w:rFonts w:hint="default" w:cstheme="minorHAnsi"/>
                <w:iCs/>
                <w:lang w:val="en-CA"/>
              </w:rPr>
              <w:t xml:space="preserve"> (GACL)</w:t>
            </w:r>
            <w:r>
              <w:t xml:space="preserve"> </w:t>
            </w:r>
            <w:r>
              <w:rPr>
                <w:rFonts w:cstheme="minorHAnsi"/>
                <w:iCs/>
              </w:rPr>
              <w:t>Annual Progress Report,  2020</w:t>
            </w:r>
          </w:p>
          <w:p>
            <w:pPr>
              <w:rPr>
                <w:rFonts w:hint="default" w:cstheme="minorHAnsi"/>
                <w:lang w:val="en-CA"/>
              </w:rPr>
            </w:pPr>
            <w:r>
              <w:rPr>
                <w:rFonts w:cstheme="minorHAnsi"/>
              </w:rPr>
              <w:t>M</w:t>
            </w:r>
            <w:r>
              <w:rPr>
                <w:rFonts w:hint="default" w:cstheme="minorHAnsi"/>
                <w:lang w:val="en-CA"/>
              </w:rPr>
              <w:t xml:space="preserve">inistry of </w:t>
            </w:r>
            <w:r>
              <w:rPr>
                <w:rFonts w:cstheme="minorHAnsi"/>
              </w:rPr>
              <w:t>R</w:t>
            </w:r>
            <w:r>
              <w:rPr>
                <w:rFonts w:hint="default" w:cstheme="minorHAnsi"/>
                <w:lang w:val="en-CA"/>
              </w:rPr>
              <w:t xml:space="preserve">ailways </w:t>
            </w:r>
            <w:r>
              <w:rPr>
                <w:rFonts w:cstheme="minorHAnsi"/>
              </w:rPr>
              <w:t>D</w:t>
            </w:r>
            <w:r>
              <w:rPr>
                <w:rFonts w:hint="default" w:cstheme="minorHAnsi"/>
                <w:lang w:val="en-CA"/>
              </w:rPr>
              <w:t>evelopment (MRD)</w:t>
            </w:r>
            <w:r>
              <w:rPr>
                <w:rFonts w:cstheme="minorHAnsi"/>
              </w:rPr>
              <w:t xml:space="preserve"> Annual Progress Report</w:t>
            </w:r>
            <w:r>
              <w:rPr>
                <w:rFonts w:hint="default" w:cstheme="minorHAnsi"/>
                <w:lang w:val="en-CA"/>
              </w:rPr>
              <w:t>,</w:t>
            </w:r>
            <w:r>
              <w:rPr>
                <w:rFonts w:cstheme="minorHAnsi"/>
              </w:rPr>
              <w:t xml:space="preserve"> 20</w:t>
            </w:r>
            <w:r>
              <w:rPr>
                <w:rFonts w:hint="default" w:cstheme="minorHAnsi"/>
                <w:lang w:val="en-CA"/>
              </w:rPr>
              <w:t>21</w:t>
            </w:r>
            <w:bookmarkStart w:id="38" w:name="_GoBack"/>
            <w:bookmarkEnd w:id="38"/>
          </w:p>
          <w:p>
            <w:pPr>
              <w:autoSpaceDE w:val="0"/>
              <w:autoSpaceDN w:val="0"/>
              <w:adjustRightInd w:val="0"/>
              <w:spacing w:after="0" w:line="240" w:lineRule="auto"/>
              <w:jc w:val="both"/>
              <w:rPr>
                <w:rFonts w:cstheme="minorHAnsi"/>
                <w:iCs/>
              </w:rPr>
            </w:pPr>
            <w:r>
              <w:rPr>
                <w:rFonts w:cstheme="minorHAnsi"/>
                <w:i w:val="0"/>
                <w:iCs/>
              </w:rPr>
              <w:t>M</w:t>
            </w:r>
            <w:r>
              <w:rPr>
                <w:rFonts w:hint="default" w:cstheme="minorHAnsi"/>
                <w:i w:val="0"/>
                <w:iCs/>
                <w:lang w:val="en-CA"/>
              </w:rPr>
              <w:t xml:space="preserve">inistry </w:t>
            </w:r>
            <w:r>
              <w:rPr>
                <w:rFonts w:cstheme="minorHAnsi"/>
                <w:i w:val="0"/>
                <w:iCs/>
              </w:rPr>
              <w:t>o</w:t>
            </w:r>
            <w:r>
              <w:rPr>
                <w:rFonts w:hint="default" w:cstheme="minorHAnsi"/>
                <w:i w:val="0"/>
                <w:iCs/>
                <w:lang w:val="en-CA"/>
              </w:rPr>
              <w:t xml:space="preserve">f </w:t>
            </w:r>
            <w:r>
              <w:rPr>
                <w:rFonts w:cstheme="minorHAnsi"/>
                <w:i w:val="0"/>
                <w:iCs/>
              </w:rPr>
              <w:t>T</w:t>
            </w:r>
            <w:r>
              <w:rPr>
                <w:rFonts w:hint="default" w:cstheme="minorHAnsi"/>
                <w:i w:val="0"/>
                <w:iCs/>
                <w:lang w:val="en-CA"/>
              </w:rPr>
              <w:t>ransport</w:t>
            </w:r>
            <w:r>
              <w:rPr>
                <w:rFonts w:cstheme="minorHAnsi"/>
                <w:i/>
              </w:rPr>
              <w:t xml:space="preserve"> </w:t>
            </w:r>
            <w:r>
              <w:rPr>
                <w:rFonts w:hint="default" w:cstheme="minorHAnsi"/>
                <w:i w:val="0"/>
                <w:iCs/>
                <w:lang w:val="en-CA"/>
              </w:rPr>
              <w:t>(MoT)</w:t>
            </w:r>
            <w:r>
              <w:rPr>
                <w:rFonts w:hint="default" w:cstheme="minorHAnsi"/>
                <w:i/>
                <w:lang w:val="en-CA"/>
              </w:rPr>
              <w:t xml:space="preserve"> </w:t>
            </w:r>
            <w:r>
              <w:rPr>
                <w:rFonts w:cstheme="minorHAnsi"/>
                <w:i w:val="0"/>
                <w:iCs/>
              </w:rPr>
              <w:t>Annual Progress Report</w:t>
            </w:r>
            <w:r>
              <w:rPr>
                <w:rFonts w:hint="default" w:cstheme="minorHAnsi"/>
                <w:i w:val="0"/>
                <w:iCs/>
                <w:lang w:val="en-CA"/>
              </w:rPr>
              <w:t>,</w:t>
            </w:r>
            <w:r>
              <w:rPr>
                <w:rFonts w:cstheme="minorHAnsi"/>
                <w:i/>
              </w:rPr>
              <w:t xml:space="preserve"> </w:t>
            </w:r>
            <w:r>
              <w:rPr>
                <w:rFonts w:cstheme="minorHAnsi"/>
                <w:i w:val="0"/>
                <w:iCs/>
              </w:rPr>
              <w:t>202</w:t>
            </w:r>
            <w:r>
              <w:rPr>
                <w:rFonts w:hint="default" w:cstheme="minorHAnsi"/>
                <w:i w:val="0"/>
                <w:iCs/>
                <w:lang w:val="en-CA"/>
              </w:rPr>
              <w:t>1</w:t>
            </w:r>
            <w:r>
              <w:rPr>
                <w:rFonts w:ascii="Sitka Subheading" w:hAnsi="Sitka Subheading" w:cs="Arial"/>
                <w:color w:val="000000" w:themeColor="text1"/>
                <w:sz w:val="20"/>
                <w:szCs w:val="20"/>
                <w14:textFill>
                  <w14:solidFill>
                    <w14:schemeClr w14:val="tx1"/>
                  </w14:solidFill>
                </w14:textFill>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Airport Company Limited</w:t>
            </w:r>
            <w:r>
              <w:rPr>
                <w:rFonts w:hint="default"/>
                <w:lang w:val="en-CA"/>
              </w:rPr>
              <w:t xml:space="preserve"> (GACL)</w:t>
            </w:r>
          </w:p>
          <w:p>
            <w:pPr>
              <w:rPr>
                <w:rFonts w:hint="default"/>
                <w:lang w:val="en-CA"/>
              </w:rPr>
            </w:pPr>
            <w:r>
              <w:rPr>
                <w:rFonts w:hint="default"/>
                <w:lang w:val="en-CA"/>
              </w:rPr>
              <w:t>Ministry of Railways Development (MRD)</w:t>
            </w:r>
          </w:p>
          <w:p>
            <w:pPr>
              <w:rPr>
                <w:rFonts w:hint="default"/>
                <w:lang w:val="en-CA"/>
              </w:rPr>
            </w:pPr>
            <w:r>
              <w:t>Ministry of Transport</w:t>
            </w:r>
            <w:r>
              <w:rPr>
                <w:rFonts w:hint="default"/>
                <w:lang w:val="en-CA"/>
              </w:rPr>
              <w:t xml:space="preserve"> (MoT)</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jc w:val="both"/>
              <w:rPr>
                <w:rFonts w:cstheme="minorHAnsi"/>
              </w:rPr>
            </w:pPr>
            <w:r>
              <w:rPr>
                <w:rFonts w:asciiTheme="minorHAnsi" w:hAnsiTheme="minorHAnsi" w:cstheme="minorHAnsi"/>
                <w:color w:val="000000"/>
                <w:sz w:val="22"/>
                <w:szCs w:val="22"/>
              </w:rPr>
              <w:t>Transborder infrastructure development is best captured by passenger and freight volumes moved by Member States and Regions. A growth in passenger and freight volumes shows a robust infrastructure development happening in States and Regions along with the resultant socio-economic benefit. Air Transport is particularly important not only for the economic and job benefits but also because it is one of the only mode of transport that can be relied on during emergencies and disease outbreaks to reach food, medicines, medical personnel, vaccines and other supplies speedily to the affected persons in the affected areas. In addition, tracking how the non-road share of freight volumes, and the public transport share of passenger volumes, changes over time allows insights into the overall sustainability of the global transport system.</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The volume of international maritime freight and container port traffic movements provide an overall indication of the importance of port infrastructure for trade and development and may be relied upon to infer the quality and adequacy of seaports and their hinterland connections. Maritime transport is the dominant mode of international freight transport when flows are measured in volume terms.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mode of transport.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jc w:val="left"/>
              <w:rPr>
                <w:rFonts w:hint="default" w:eastAsia="SimSun-ExtB" w:cs="SimSun-ExtB" w:asciiTheme="minorAscii" w:hAnsiTheme="minorAscii"/>
                <w:sz w:val="22"/>
                <w:szCs w:val="22"/>
              </w:rPr>
            </w:pPr>
            <w:r>
              <w:rPr>
                <w:rFonts w:hint="default" w:eastAsia="SimSun-ExtB" w:cs="SimSun-ExtB" w:asciiTheme="minorAscii" w:hAnsiTheme="minorAscii"/>
                <w:kern w:val="0"/>
                <w:sz w:val="22"/>
                <w:szCs w:val="22"/>
                <w:lang w:val="en-US" w:eastAsia="zh-CN" w:bidi="ar"/>
              </w:rPr>
              <w:fldChar w:fldCharType="begin"/>
            </w:r>
            <w:r>
              <w:rPr>
                <w:rFonts w:hint="default" w:eastAsia="SimSun-ExtB" w:cs="SimSun-ExtB" w:asciiTheme="minorAscii" w:hAnsiTheme="minorAscii"/>
                <w:kern w:val="0"/>
                <w:sz w:val="22"/>
                <w:szCs w:val="22"/>
                <w:lang w:val="en-US" w:eastAsia="zh-CN" w:bidi="ar"/>
              </w:rPr>
              <w:instrText xml:space="preserve"> HYPERLINK "http://bit.ly/3tmsXub" \t "_blank" </w:instrText>
            </w:r>
            <w:r>
              <w:rPr>
                <w:rFonts w:hint="default" w:eastAsia="SimSun-ExtB" w:cs="SimSun-ExtB" w:asciiTheme="minorAscii" w:hAnsiTheme="minorAscii"/>
                <w:kern w:val="0"/>
                <w:sz w:val="22"/>
                <w:szCs w:val="22"/>
                <w:lang w:val="en-US" w:eastAsia="zh-CN" w:bidi="ar"/>
              </w:rPr>
              <w:fldChar w:fldCharType="separate"/>
            </w:r>
            <w:r>
              <w:rPr>
                <w:rStyle w:val="18"/>
                <w:rFonts w:hint="default" w:eastAsia="SimSun-ExtB" w:cs="SimSun-ExtB" w:asciiTheme="minorAscii" w:hAnsiTheme="minorAscii"/>
                <w:sz w:val="22"/>
                <w:szCs w:val="22"/>
              </w:rPr>
              <w:t>bit.ly/3tmsXub</w:t>
            </w:r>
          </w:p>
          <w:p>
            <w:pPr>
              <w:keepNext w:val="0"/>
              <w:keepLines w:val="0"/>
              <w:widowControl/>
              <w:suppressLineNumbers w:val="0"/>
              <w:jc w:val="left"/>
            </w:pPr>
            <w:r>
              <w:rPr>
                <w:rFonts w:hint="default" w:eastAsia="SimSun-ExtB" w:cs="SimSun-ExtB" w:asciiTheme="minorAscii" w:hAnsiTheme="minorAscii"/>
                <w:kern w:val="0"/>
                <w:sz w:val="22"/>
                <w:szCs w:val="22"/>
                <w:lang w:val="en-US" w:eastAsia="zh-CN" w:bidi="ar"/>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 w:name="SimSun-ExtB">
    <w:panose1 w:val="02010609060101010101"/>
    <w:charset w:val="86"/>
    <w:family w:val="auto"/>
    <w:pitch w:val="default"/>
    <w:sig w:usb0="00000001" w:usb1="02000000" w:usb2="00000000"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43FC"/>
    <w:rsid w:val="0009623D"/>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08D8"/>
    <w:rsid w:val="004C06A8"/>
    <w:rsid w:val="004C665C"/>
    <w:rsid w:val="004D6154"/>
    <w:rsid w:val="004D68B6"/>
    <w:rsid w:val="004E3F4C"/>
    <w:rsid w:val="004E5702"/>
    <w:rsid w:val="004E5E1A"/>
    <w:rsid w:val="004F4616"/>
    <w:rsid w:val="00500E13"/>
    <w:rsid w:val="00503263"/>
    <w:rsid w:val="00511B44"/>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7D6C"/>
    <w:rsid w:val="00736C17"/>
    <w:rsid w:val="00736C4F"/>
    <w:rsid w:val="00751373"/>
    <w:rsid w:val="0076608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7799"/>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CC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A686F7C"/>
    <w:rsid w:val="30004A3D"/>
    <w:rsid w:val="3049064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E1025"/>
    <w:rsid w:val="0052168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216050</Words>
  <Characters>1231490</Characters>
  <Lines>10262</Lines>
  <Paragraphs>2889</Paragraphs>
  <TotalTime>13</TotalTime>
  <ScaleCrop>false</ScaleCrop>
  <LinksUpToDate>false</LinksUpToDate>
  <CharactersWithSpaces>1444651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2021-10-18T14:59:00Z</dcterms:created>
  <dc:creator>Fanning, Stephen B (JMD)</dc:creator>
  <cp:lastModifiedBy>Doreen</cp:lastModifiedBy>
  <cp:lastPrinted>2020-04-16T14:23:00Z</cp:lastPrinted>
  <dcterms:modified xsi:type="dcterms:W3CDTF">2022-11-13T14:43:10Z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3390DB0C55624924BE24FBDCF59349F4</vt:lpwstr>
  </property>
</Properties>
</file>