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15.3.1 Proportion of land that is degraded over total land area [15.3.1] (AG_LND_DGRD)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3071"/>
            <w:bookmarkStart w:id="4" w:name="_Toc36812571"/>
            <w:bookmarkStart w:id="5" w:name="_Toc37932743"/>
            <w:bookmarkStart w:id="6" w:name="_Toc36655608"/>
            <w:bookmarkStart w:id="7" w:name="_Toc36812684"/>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Target 15.3: By 2030, combat desertification, restore degraded land and soil, including land affected by desertification, drought and floods, and strive to achieve a land degradation-neutral world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Indicator 15.3.1: Pro</w:t>
            </w:r>
            <w:bookmarkStart w:id="38" w:name="_GoBack"/>
            <w:bookmarkEnd w:id="38"/>
            <w:r>
              <w:rPr>
                <w:rFonts w:hint="default"/>
              </w:rPr>
              <w:t>portion of land that is degraded over total land area</w:t>
            </w:r>
          </w:p>
        </w:tc>
      </w:tr>
      <w:permEnd w:id="7"/>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2.4.1; 6.6.1; 11.3.1; 15.1.1; 15.2.1</w:t>
            </w:r>
          </w:p>
        </w:tc>
      </w:tr>
      <w:permEnd w:id="10"/>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3073"/>
            <w:bookmarkStart w:id="15" w:name="_Toc36812573"/>
            <w:bookmarkStart w:id="16" w:name="_Toc36655610"/>
            <w:bookmarkStart w:id="17" w:name="_Toc36812686"/>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6" w:afterAutospacing="0" w:line="256" w:lineRule="auto"/>
              <w:ind w:left="-5" w:right="0" w:hanging="10"/>
              <w:jc w:val="left"/>
              <w:rPr>
                <w:rFonts w:hint="default" w:ascii="Calibri" w:hAnsi="Calibri" w:cs="Calibri"/>
                <w:sz w:val="22"/>
                <w:szCs w:val="22"/>
                <w:lang w:val="en-US"/>
              </w:rPr>
            </w:pPr>
            <w:r>
              <w:rPr>
                <w:rFonts w:hint="default" w:ascii="Calibri" w:hAnsi="Calibri" w:eastAsia="Calibri" w:cs="Calibri"/>
                <w:b/>
                <w:bCs w:val="0"/>
                <w:color w:val="4A4A4A"/>
                <w:kern w:val="0"/>
                <w:sz w:val="22"/>
                <w:szCs w:val="22"/>
                <w:lang w:val="en-US" w:eastAsia="zh-CN" w:bidi="ar"/>
              </w:rPr>
              <w:t xml:space="preserve">Definitions: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Land degradation</w:t>
            </w:r>
            <w:r>
              <w:rPr>
                <w:rFonts w:hint="default" w:ascii="Calibri" w:hAnsi="Calibri" w:eastAsia="Calibri" w:cs="Calibri"/>
                <w:color w:val="404040"/>
                <w:kern w:val="0"/>
                <w:sz w:val="22"/>
                <w:szCs w:val="22"/>
                <w:lang w:val="en-US" w:eastAsia="zh-CN" w:bidi="ar"/>
              </w:rPr>
              <w:t xml:space="preserve"> is defined as the reduction or loss of the biological or economic productivity and complexity of rain fed cropland, irrigated cropland, or range, pasture, forest and woodlands resulting from a combination of pressures, including land use and management practices. This definition was adopted by and is used by the 196 countries that are Party to the UNCCD.</w:t>
            </w:r>
            <w:r>
              <w:rPr>
                <w:rFonts w:hint="default" w:ascii="Calibri" w:hAnsi="Calibri" w:eastAsia="Calibri" w:cs="Calibri"/>
                <w:color w:val="404040"/>
                <w:kern w:val="0"/>
                <w:sz w:val="22"/>
                <w:szCs w:val="22"/>
                <w:vertAlign w:val="superscript"/>
                <w:lang w:val="en-US" w:eastAsia="zh-CN" w:bidi="ar"/>
              </w:rPr>
              <w:footnoteReference w:id="1"/>
            </w:r>
            <w:r>
              <w:rPr>
                <w:rFonts w:hint="default" w:ascii="Calibri" w:hAnsi="Calibri" w:cs="Calibri"/>
                <w:sz w:val="22"/>
                <w:szCs w:val="22"/>
                <w:lang w:val="en-US"/>
              </w:rPr>
              <w:t xml:space="preserve"> (see also Figure 1)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Land Degradation Neutrality</w:t>
            </w:r>
            <w:r>
              <w:rPr>
                <w:rFonts w:hint="default" w:ascii="Calibri" w:hAnsi="Calibri" w:eastAsia="Calibri" w:cs="Calibri"/>
                <w:color w:val="404040"/>
                <w:kern w:val="0"/>
                <w:sz w:val="22"/>
                <w:szCs w:val="22"/>
                <w:lang w:val="en-US"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(decision 3/COP12).</w:t>
            </w:r>
            <w:r>
              <w:rPr>
                <w:rFonts w:hint="default" w:ascii="Calibri" w:hAnsi="Calibri" w:eastAsia="Calibri" w:cs="Calibri"/>
                <w:color w:val="404040"/>
                <w:kern w:val="0"/>
                <w:sz w:val="22"/>
                <w:szCs w:val="22"/>
                <w:vertAlign w:val="superscript"/>
                <w:lang w:val="en-US" w:eastAsia="zh-CN" w:bidi="ar"/>
              </w:rPr>
              <w:t>2</w:t>
            </w:r>
            <w:r>
              <w:rPr>
                <w:rFonts w:hint="default" w:ascii="Calibri" w:hAnsi="Calibri" w:eastAsia="Calibri" w:cs="Calibri"/>
                <w:color w:val="404040"/>
                <w:kern w:val="0"/>
                <w:sz w:val="22"/>
                <w:szCs w:val="22"/>
                <w:lang w:val="en-US" w:eastAsia="zh-CN" w:bidi="ar"/>
              </w:rPr>
              <w:t xml:space="preserve"> </w:t>
            </w:r>
          </w:p>
          <w:p>
            <w:pPr>
              <w:keepNext w:val="0"/>
              <w:keepLines w:val="0"/>
              <w:widowControl/>
              <w:suppressLineNumbers w:val="0"/>
              <w:spacing w:before="0" w:beforeAutospacing="0" w:after="230"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Total land area</w:t>
            </w:r>
            <w:r>
              <w:rPr>
                <w:rFonts w:hint="default" w:ascii="Calibri" w:hAnsi="Calibri" w:eastAsia="Calibri" w:cs="Calibri"/>
                <w:color w:val="404040"/>
                <w:kern w:val="0"/>
                <w:sz w:val="22"/>
                <w:szCs w:val="22"/>
                <w:lang w:val="en-US" w:eastAsia="zh-CN" w:bidi="ar"/>
              </w:rPr>
              <w:t xml:space="preserve"> is the total surface area of a country excluding the area covered by inland waters, like major rivers and lakes.</w:t>
            </w:r>
            <w:r>
              <w:rPr>
                <w:rFonts w:hint="default" w:ascii="Calibri" w:hAnsi="Calibri" w:eastAsia="Calibri" w:cs="Calibri"/>
                <w:color w:val="404040"/>
                <w:kern w:val="0"/>
                <w:sz w:val="22"/>
                <w:szCs w:val="22"/>
                <w:vertAlign w:val="superscript"/>
                <w:lang w:val="en-US" w:eastAsia="zh-CN" w:bidi="ar"/>
              </w:rPr>
              <w:footnoteReference w:id="2"/>
            </w:r>
            <w:r>
              <w:rPr>
                <w:rFonts w:hint="default" w:ascii="Calibri" w:hAnsi="Calibri" w:cs="Calibri"/>
                <w:sz w:val="22"/>
                <w:szCs w:val="22"/>
                <w:lang w:val="en-US"/>
              </w:rPr>
              <w:t xml:space="preserve">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SDG indicator 15.3.1</w:t>
            </w:r>
            <w:r>
              <w:rPr>
                <w:rFonts w:hint="default" w:ascii="Calibri" w:hAnsi="Calibri" w:eastAsia="Calibri" w:cs="Calibri"/>
                <w:color w:val="404040"/>
                <w:kern w:val="0"/>
                <w:sz w:val="22"/>
                <w:szCs w:val="22"/>
                <w:lang w:val="en-US" w:eastAsia="zh-CN" w:bidi="ar"/>
              </w:rPr>
              <w:t xml:space="preserve"> is a binary - degraded/not degraded - quantification based on the analysis of available data for three sub-indicators to be validated and reported by national authorities. The subindicators (Trends in Land Cover, Land Productivity and Carbon Stocks) were adopted by the UNCCD’s governing body in 2013 as part of its monitoring and evaluation approach.</w:t>
            </w:r>
            <w:r>
              <w:rPr>
                <w:rFonts w:hint="default" w:ascii="Calibri" w:hAnsi="Calibri" w:eastAsia="Calibri" w:cs="Calibri"/>
                <w:color w:val="404040"/>
                <w:kern w:val="0"/>
                <w:sz w:val="22"/>
                <w:szCs w:val="22"/>
                <w:vertAlign w:val="superscript"/>
                <w:lang w:val="en-US" w:eastAsia="zh-CN" w:bidi="ar"/>
              </w:rPr>
              <w:footnoteReference w:id="3"/>
            </w:r>
            <w:r>
              <w:rPr>
                <w:rFonts w:hint="default" w:ascii="Calibri" w:hAnsi="Calibri" w:cs="Calibri"/>
                <w:sz w:val="22"/>
                <w:szCs w:val="22"/>
                <w:lang w:val="en-US"/>
              </w:rPr>
              <w:t xml:space="preserve">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The method of computation</w:t>
            </w:r>
            <w:r>
              <w:rPr>
                <w:rFonts w:hint="default" w:ascii="Calibri" w:hAnsi="Calibri" w:eastAsia="Calibri" w:cs="Calibri"/>
                <w:color w:val="404040"/>
                <w:kern w:val="0"/>
                <w:sz w:val="22"/>
                <w:szCs w:val="22"/>
                <w:lang w:val="en-US" w:eastAsia="zh-CN" w:bidi="ar"/>
              </w:rPr>
              <w:t xml:space="preserve"> for this indicator follows the “One Out, All Out” statistical principle and is based on the baseline assessment and evaluation of change in the sub-indicators to determine the extent of land that is degraded over total land area.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The One Out, All Out (1OAO)</w:t>
            </w:r>
            <w:r>
              <w:rPr>
                <w:rFonts w:hint="default" w:ascii="Calibri" w:hAnsi="Calibri" w:eastAsia="Calibri" w:cs="Calibri"/>
                <w:i/>
                <w:iCs w:val="0"/>
                <w:color w:val="404040"/>
                <w:kern w:val="0"/>
                <w:sz w:val="22"/>
                <w:szCs w:val="22"/>
                <w:vertAlign w:val="superscript"/>
                <w:lang w:val="en-US" w:eastAsia="zh-CN" w:bidi="ar"/>
              </w:rPr>
              <w:t>5</w:t>
            </w:r>
            <w:r>
              <w:rPr>
                <w:rFonts w:hint="default" w:ascii="Calibri" w:hAnsi="Calibri" w:eastAsia="Calibri" w:cs="Calibri"/>
                <w:color w:val="404040"/>
                <w:kern w:val="0"/>
                <w:sz w:val="22"/>
                <w:szCs w:val="22"/>
                <w:lang w:val="en-US" w:eastAsia="zh-CN" w:bidi="ar"/>
              </w:rPr>
              <w:t xml:space="preserve"> principle is applied taking into account changes in the sub-indicators which are depicted as (i) positive or improving, (ii) negative or declining, or (iii) stable or unchanging. If one of the sub-indicators is negative (or stable when degraded in the baseline or previous monitoring year) for a particular land unit, then it would be considered as degraded subject to validation by national authorities. </w:t>
            </w:r>
          </w:p>
          <w:p>
            <w:pPr>
              <w:keepNext w:val="0"/>
              <w:keepLines w:val="0"/>
              <w:widowControl/>
              <w:suppressLineNumbers w:val="0"/>
              <w:spacing w:before="0" w:beforeAutospacing="0" w:after="19" w:afterAutospacing="0" w:line="256" w:lineRule="auto"/>
              <w:ind w:left="0" w:right="0" w:firstLine="0"/>
              <w:jc w:val="left"/>
              <w:rPr>
                <w:rFonts w:hint="default" w:ascii="Calibri" w:hAnsi="Calibri" w:cs="Calibri"/>
                <w:sz w:val="22"/>
                <w:szCs w:val="22"/>
                <w:lang w:val="en-US"/>
              </w:rPr>
            </w:pPr>
            <w:r>
              <w:rPr>
                <w:rFonts w:hint="default" w:ascii="Calibri" w:hAnsi="Calibri" w:eastAsia="Times New Roman" w:cs="Calibri"/>
                <w:b/>
                <w:bCs w:val="0"/>
                <w:color w:val="404040"/>
                <w:kern w:val="0"/>
                <w:sz w:val="22"/>
                <w:szCs w:val="22"/>
                <w:lang w:val="en-US" w:eastAsia="zh-CN" w:bidi="ar"/>
              </w:rPr>
              <w:t xml:space="preserve">Concepts: </w:t>
            </w:r>
          </w:p>
          <w:p>
            <w:pPr>
              <w:keepNext w:val="0"/>
              <w:keepLines w:val="0"/>
              <w:widowControl/>
              <w:suppressLineNumbers w:val="0"/>
              <w:spacing w:before="0" w:beforeAutospacing="0" w:after="20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The assessment and quantification of land degradation is generally regarded as context-specific, making it difficult for a single indicator to fully capture the state or condition of the land. While necessary but not sufficient, the sub-indicators address changes in different yet highly relevant ways: for example, land cover or productivity trends can capture relatively fast changes while changes in carbon stocks reflect slower changes that suggest a trajectory or proximity to thresholds.</w:t>
            </w:r>
            <w:r>
              <w:rPr>
                <w:rFonts w:hint="default" w:ascii="Calibri" w:hAnsi="Calibri" w:eastAsia="Calibri" w:cs="Calibri"/>
                <w:color w:val="404040"/>
                <w:kern w:val="0"/>
                <w:sz w:val="22"/>
                <w:szCs w:val="22"/>
                <w:vertAlign w:val="superscript"/>
                <w:lang w:val="en-US" w:eastAsia="zh-CN" w:bidi="ar"/>
              </w:rPr>
              <w:footnoteReference w:id="4"/>
            </w:r>
            <w:r>
              <w:rPr>
                <w:rFonts w:hint="default" w:ascii="Calibri" w:hAnsi="Calibri" w:cs="Calibri"/>
                <w:sz w:val="22"/>
                <w:szCs w:val="22"/>
                <w:lang w:val="en-US"/>
              </w:rPr>
              <w:t xml:space="preserve">  </w:t>
            </w:r>
          </w:p>
          <w:p>
            <w:pPr>
              <w:keepNext w:val="0"/>
              <w:keepLines w:val="0"/>
              <w:widowControl/>
              <w:suppressLineNumbers w:val="0"/>
              <w:spacing w:before="0" w:beforeAutospacing="0" w:after="542"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As proxies to monitor the key factors and driving variables that reflect the capacity to deliver land-based ecosystem services, the sub-indicators are globally agreed upon in definition and methodology of calculation, and deemed both technically and economically feasible for systematic observation under both the Global Climate Observation System (GCOS) and the integrated measurement framework of the System of Environmental-Economic Accounting (SEEA). The ultimate determination of the extent of degraded land made by national authorities should be contextualized with other indicators, data and ground-based information. </w:t>
            </w:r>
            <w:r>
              <w:rPr>
                <w:rFonts w:hint="default" w:ascii="Calibri" w:hAnsi="Calibri" w:eastAsia="Calibri" w:cs="Calibri"/>
                <w:color w:val="404040"/>
                <w:kern w:val="0"/>
                <w:sz w:val="22"/>
                <w:szCs w:val="22"/>
                <w:lang w:val="en-CA" w:eastAsia="zh-CN" w:bidi="ar"/>
              </w:rPr>
              <w:t xml:space="preserve">           </w:t>
            </w:r>
            <w:r>
              <w:rPr>
                <w:rFonts w:hint="default" w:ascii="Calibri" w:hAnsi="Calibri" w:eastAsia="Calibri" w:cs="Calibri"/>
                <w:color w:val="404040"/>
                <w:kern w:val="0"/>
                <w:sz w:val="22"/>
                <w:szCs w:val="22"/>
                <w:lang w:val="en-US" w:eastAsia="zh-CN" w:bidi="ar"/>
              </w:rPr>
              <w:t xml:space="preserve">An operational definition of land degradation along with a description of the linkages among the subindicators is given in Figure 1.  </w:t>
            </w:r>
          </w:p>
          <w:p>
            <w:pPr>
              <w:keepNext w:val="0"/>
              <w:keepLines w:val="0"/>
              <w:widowControl/>
              <w:suppressLineNumbers w:val="0"/>
              <w:spacing w:before="0" w:beforeAutospacing="0" w:after="166" w:afterAutospacing="0" w:line="266" w:lineRule="auto"/>
              <w:ind w:left="-5" w:right="0" w:hanging="10"/>
              <w:jc w:val="left"/>
              <w:rPr>
                <w:rFonts w:hint="default" w:ascii="Calibri" w:hAnsi="Calibri" w:cs="Calibri"/>
                <w:sz w:val="22"/>
                <w:szCs w:val="22"/>
                <w:lang w:val="en-US"/>
              </w:rPr>
            </w:pPr>
            <w:r>
              <w:rPr>
                <w:rFonts w:hint="default" w:ascii="Calibri" w:hAnsi="Calibri" w:eastAsia="Calibri" w:cs="Calibri"/>
                <w:b/>
                <w:bCs w:val="0"/>
                <w:color w:val="404040"/>
                <w:kern w:val="0"/>
                <w:sz w:val="22"/>
                <w:szCs w:val="22"/>
                <w:lang w:val="en-US" w:eastAsia="zh-CN" w:bidi="ar"/>
              </w:rPr>
              <w:t xml:space="preserve">Figure 1: Operational definition of land degradation and linkage with the sub-indicators. </w:t>
            </w:r>
          </w:p>
          <w:p>
            <w:pPr>
              <w:keepNext w:val="0"/>
              <w:keepLines w:val="0"/>
              <w:widowControl/>
              <w:suppressLineNumbers w:val="0"/>
              <w:spacing w:before="0" w:beforeAutospacing="0" w:after="161" w:afterAutospacing="0" w:line="256" w:lineRule="auto"/>
              <w:ind w:left="0" w:right="0" w:firstLine="0"/>
              <w:jc w:val="right"/>
              <w:rPr>
                <w:rFonts w:hint="default"/>
                <w:lang w:val="en-US"/>
              </w:rPr>
            </w:pPr>
            <w:r>
              <w:rPr>
                <w:rFonts w:hint="default" w:ascii="Calibri" w:hAnsi="Calibri" w:eastAsia="Calibri" w:cs="Calibri"/>
                <w:color w:val="404040"/>
                <w:kern w:val="0"/>
                <w:sz w:val="21"/>
                <w:szCs w:val="22"/>
                <w:lang w:val="en-US" w:eastAsia="zh-CN" w:bidi="ar"/>
              </w:rPr>
              <w:drawing>
                <wp:inline distT="0" distB="0" distL="114300" distR="114300">
                  <wp:extent cx="5943600" cy="3971925"/>
                  <wp:effectExtent l="0" t="0" r="0" b="9525"/>
                  <wp:docPr id="1" name="Picture 5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65"/>
                          <pic:cNvPicPr>
                            <a:picLocks noChangeAspect="1"/>
                          </pic:cNvPicPr>
                        </pic:nvPicPr>
                        <pic:blipFill>
                          <a:blip r:embed="rId16"/>
                          <a:stretch>
                            <a:fillRect/>
                          </a:stretch>
                        </pic:blipFill>
                        <pic:spPr>
                          <a:xfrm>
                            <a:off x="0" y="0"/>
                            <a:ext cx="5943600" cy="3971925"/>
                          </a:xfrm>
                          <a:prstGeom prst="rect">
                            <a:avLst/>
                          </a:prstGeom>
                          <a:noFill/>
                          <a:ln>
                            <a:noFill/>
                          </a:ln>
                        </pic:spPr>
                      </pic:pic>
                    </a:graphicData>
                  </a:graphic>
                </wp:inline>
              </w:drawing>
            </w:r>
            <w:r>
              <w:rPr>
                <w:rFonts w:hint="default" w:ascii="Calibri" w:hAnsi="Calibri" w:eastAsia="Calibri" w:cs="Calibri"/>
                <w:color w:val="404040"/>
                <w:kern w:val="0"/>
                <w:sz w:val="21"/>
                <w:szCs w:val="22"/>
                <w:lang w:val="en-US" w:eastAsia="zh-CN" w:bidi="ar"/>
              </w:rPr>
              <w:t xml:space="preserve"> </w:t>
            </w:r>
          </w:p>
          <w:p>
            <w:pPr>
              <w:keepNext w:val="0"/>
              <w:keepLines w:val="0"/>
              <w:widowControl/>
              <w:suppressLineNumbers w:val="0"/>
              <w:spacing w:before="0" w:beforeAutospacing="0" w:after="205" w:afterAutospacing="0" w:line="268" w:lineRule="auto"/>
              <w:ind w:left="-5" w:right="382" w:hanging="10"/>
              <w:jc w:val="left"/>
              <w:rPr>
                <w:rFonts w:hint="default"/>
                <w:lang w:val="en-US"/>
              </w:rPr>
            </w:pPr>
            <w:r>
              <w:rPr>
                <w:rFonts w:hint="default" w:ascii="Calibri" w:hAnsi="Calibri" w:eastAsia="Calibri" w:cs="Calibri"/>
                <w:b/>
                <w:bCs w:val="0"/>
                <w:i/>
                <w:iCs w:val="0"/>
                <w:color w:val="404040"/>
                <w:kern w:val="0"/>
                <w:sz w:val="21"/>
                <w:szCs w:val="22"/>
                <w:lang w:val="en-US" w:eastAsia="zh-CN" w:bidi="ar"/>
              </w:rPr>
              <w:t>Land cover</w:t>
            </w:r>
            <w:r>
              <w:rPr>
                <w:rFonts w:hint="default" w:ascii="Calibri" w:hAnsi="Calibri" w:eastAsia="Calibri" w:cs="Calibri"/>
                <w:color w:val="404040"/>
                <w:kern w:val="0"/>
                <w:sz w:val="21"/>
                <w:szCs w:val="22"/>
                <w:lang w:val="en-US" w:eastAsia="zh-CN" w:bidi="ar"/>
              </w:rPr>
              <w:t xml:space="preserve"> refers to the observed physical cover of the Earth’s surface which describes the distribution of vegetation types, water bodies and human-made infrastructure.</w:t>
            </w:r>
            <w:r>
              <w:rPr>
                <w:rFonts w:hint="default" w:ascii="Calibri" w:hAnsi="Calibri" w:eastAsia="Calibri" w:cs="Calibri"/>
                <w:color w:val="404040"/>
                <w:kern w:val="0"/>
                <w:sz w:val="21"/>
                <w:szCs w:val="22"/>
                <w:vertAlign w:val="superscript"/>
                <w:lang w:val="en-US" w:eastAsia="zh-CN" w:bidi="ar"/>
              </w:rPr>
              <w:footnoteReference w:id="5"/>
            </w:r>
            <w:r>
              <w:rPr>
                <w:rFonts w:hint="default"/>
                <w:lang w:val="en-US"/>
              </w:rPr>
              <w:t xml:space="preserve"> It also reflects the use of land resources (i.e., soil, water and biodiversity) for agriculture, forestry, human settlements and other purposes.</w:t>
            </w:r>
            <w:r>
              <w:rPr>
                <w:rFonts w:hint="default"/>
                <w:vertAlign w:val="superscript"/>
                <w:lang w:val="en-US"/>
              </w:rPr>
              <w:footnoteReference w:id="6"/>
            </w:r>
            <w:r>
              <w:rPr>
                <w:rFonts w:hint="default"/>
                <w:lang w:val="en-US"/>
              </w:rPr>
              <w:t xml:space="preserve"> This sub-indicator serves two functions for SDG indicator 15.3.1: (1) changes in land cover may point to land degradation when there is a loss of ecosystem services that are considered desirable in a local or national context; and (2) a land cover classification system can be used to disaggregate the other two subindicators, thus increasing the indicator’s policy relevance. This sub-indicator is also expected to be used for reporting on SDG indicators 6.6.1, 11.3.1 and 15.1.1. </w:t>
            </w:r>
          </w:p>
          <w:p>
            <w:pPr>
              <w:keepNext w:val="0"/>
              <w:keepLines w:val="0"/>
              <w:widowControl/>
              <w:suppressLineNumbers w:val="0"/>
              <w:spacing w:before="0" w:beforeAutospacing="0" w:after="135"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b/>
                <w:bCs w:val="0"/>
                <w:i/>
                <w:iCs w:val="0"/>
                <w:color w:val="404040"/>
                <w:kern w:val="0"/>
                <w:sz w:val="22"/>
                <w:szCs w:val="22"/>
                <w:lang w:val="en-US" w:eastAsia="zh-CN" w:bidi="ar"/>
              </w:rPr>
              <w:t>Land productivity</w:t>
            </w:r>
            <w:r>
              <w:rPr>
                <w:rFonts w:hint="default" w:ascii="Calibri" w:hAnsi="Calibri" w:eastAsia="Calibri" w:cs="Calibri"/>
                <w:color w:val="404040"/>
                <w:kern w:val="0"/>
                <w:sz w:val="22"/>
                <w:szCs w:val="22"/>
                <w:lang w:val="en-US" w:eastAsia="zh-CN" w:bidi="ar"/>
              </w:rPr>
              <w:t xml:space="preserve"> refers to the total above-ground net primary production (NPP) defined as the energy fixed by plants minus their respiration which translates into the rate of biomass accumulation that delivers a suite of ecosystem services.</w:t>
            </w:r>
            <w:r>
              <w:rPr>
                <w:rFonts w:hint="default" w:ascii="Calibri" w:hAnsi="Calibri" w:eastAsia="Calibri" w:cs="Calibri"/>
                <w:color w:val="404040"/>
                <w:kern w:val="0"/>
                <w:sz w:val="22"/>
                <w:szCs w:val="22"/>
                <w:vertAlign w:val="superscript"/>
                <w:lang w:val="en-US" w:eastAsia="zh-CN" w:bidi="ar"/>
              </w:rPr>
              <w:footnoteReference w:id="7"/>
            </w:r>
            <w:r>
              <w:rPr>
                <w:rFonts w:hint="default" w:ascii="Calibri" w:hAnsi="Calibri" w:cs="Calibri"/>
                <w:sz w:val="22"/>
                <w:szCs w:val="22"/>
                <w:lang w:val="en-US"/>
              </w:rPr>
              <w:t xml:space="preserve"> This sub-indicator points to changes in the health and productive capacity of the land and reflects the net effects of changes in ecosystem functioning on plant and biomass growth, where declining trends are often a defining characteristic of land degradation.</w:t>
            </w:r>
            <w:r>
              <w:rPr>
                <w:rFonts w:hint="default" w:ascii="Calibri" w:hAnsi="Calibri" w:cs="Calibri"/>
                <w:sz w:val="22"/>
                <w:szCs w:val="22"/>
                <w:vertAlign w:val="superscript"/>
                <w:lang w:val="en-US"/>
              </w:rPr>
              <w:footnoteReference w:id="8"/>
            </w:r>
            <w:r>
              <w:rPr>
                <w:rFonts w:hint="default" w:ascii="Calibri" w:hAnsi="Calibri" w:cs="Calibri"/>
                <w:sz w:val="22"/>
                <w:szCs w:val="22"/>
                <w:lang w:val="en-US"/>
              </w:rPr>
              <w:t xml:space="preserve"> </w:t>
            </w:r>
          </w:p>
          <w:p>
            <w:pPr>
              <w:keepNext w:val="0"/>
              <w:keepLines w:val="0"/>
              <w:widowControl/>
              <w:suppressLineNumbers w:val="0"/>
              <w:spacing w:before="0" w:beforeAutospacing="0" w:after="30" w:afterAutospacing="0" w:line="268" w:lineRule="auto"/>
              <w:ind w:left="-5" w:right="382" w:hanging="10"/>
              <w:jc w:val="left"/>
              <w:rPr>
                <w:rFonts w:hint="default"/>
              </w:rPr>
            </w:pPr>
            <w:r>
              <w:rPr>
                <w:rFonts w:hint="default" w:ascii="Calibri" w:hAnsi="Calibri" w:eastAsia="Calibri" w:cs="Calibri"/>
                <w:b/>
                <w:bCs w:val="0"/>
                <w:i/>
                <w:iCs w:val="0"/>
                <w:color w:val="404040"/>
                <w:kern w:val="0"/>
                <w:sz w:val="22"/>
                <w:szCs w:val="22"/>
                <w:lang w:val="en-US" w:eastAsia="zh-CN" w:bidi="ar"/>
              </w:rPr>
              <w:t>Carbon stock</w:t>
            </w:r>
            <w:r>
              <w:rPr>
                <w:rFonts w:hint="default" w:ascii="Calibri" w:hAnsi="Calibri" w:eastAsia="Calibri" w:cs="Calibri"/>
                <w:color w:val="404040"/>
                <w:kern w:val="0"/>
                <w:sz w:val="22"/>
                <w:szCs w:val="22"/>
                <w:lang w:val="en-US" w:eastAsia="zh-CN" w:bidi="ar"/>
              </w:rPr>
              <w:t xml:space="preserve"> is the quantity of carbon in a “pool”: a reservoir which has the capacity to accumulate or release carbon and is comprised of above- and below-ground biomass, dead organic matter, and soil organic carbon.</w:t>
            </w:r>
            <w:r>
              <w:rPr>
                <w:rFonts w:hint="default" w:ascii="Calibri" w:hAnsi="Calibri" w:eastAsia="Calibri" w:cs="Calibri"/>
                <w:color w:val="404040"/>
                <w:kern w:val="0"/>
                <w:sz w:val="22"/>
                <w:szCs w:val="22"/>
                <w:vertAlign w:val="superscript"/>
                <w:lang w:val="en-US" w:eastAsia="zh-CN" w:bidi="ar"/>
              </w:rPr>
              <w:t>11</w:t>
            </w:r>
            <w:r>
              <w:rPr>
                <w:rFonts w:hint="default" w:ascii="Calibri" w:hAnsi="Calibri" w:eastAsia="Calibri" w:cs="Calibri"/>
                <w:color w:val="404040"/>
                <w:kern w:val="0"/>
                <w:sz w:val="22"/>
                <w:szCs w:val="22"/>
                <w:lang w:val="en-US" w:eastAsia="zh-CN" w:bidi="ar"/>
              </w:rPr>
              <w:t xml:space="preserve"> In UNCCD decision 22/COP.11, </w:t>
            </w:r>
            <w:r>
              <w:rPr>
                <w:rFonts w:hint="default" w:ascii="Calibri" w:hAnsi="Calibri" w:eastAsia="Calibri" w:cs="Calibri"/>
                <w:i/>
                <w:iCs w:val="0"/>
                <w:color w:val="404040"/>
                <w:kern w:val="0"/>
                <w:sz w:val="22"/>
                <w:szCs w:val="22"/>
                <w:lang w:val="en-US" w:eastAsia="zh-CN" w:bidi="ar"/>
              </w:rPr>
              <w:t>soil organic carbon (SOC) stock</w:t>
            </w:r>
            <w:r>
              <w:rPr>
                <w:rFonts w:hint="default" w:ascii="Calibri" w:hAnsi="Calibri" w:eastAsia="Calibri" w:cs="Calibri"/>
                <w:color w:val="404040"/>
                <w:kern w:val="0"/>
                <w:sz w:val="22"/>
                <w:szCs w:val="22"/>
                <w:lang w:val="en-US" w:eastAsia="zh-CN" w:bidi="ar"/>
              </w:rPr>
              <w:t xml:space="preserve"> was adopted as the metric to be used with the understanding that this metric will be replaced by </w:t>
            </w:r>
            <w:r>
              <w:rPr>
                <w:rFonts w:hint="default" w:ascii="Calibri" w:hAnsi="Calibri" w:eastAsia="Calibri" w:cs="Calibri"/>
                <w:i/>
                <w:iCs w:val="0"/>
                <w:color w:val="404040"/>
                <w:kern w:val="0"/>
                <w:sz w:val="22"/>
                <w:szCs w:val="22"/>
                <w:lang w:val="en-US" w:eastAsia="zh-CN" w:bidi="ar"/>
              </w:rPr>
              <w:t>total terrestrial system carbon stocks</w:t>
            </w:r>
            <w:r>
              <w:rPr>
                <w:rFonts w:hint="default" w:ascii="Calibri" w:hAnsi="Calibri" w:eastAsia="Calibri" w:cs="Calibri"/>
                <w:color w:val="404040"/>
                <w:kern w:val="0"/>
                <w:sz w:val="22"/>
                <w:szCs w:val="22"/>
                <w:lang w:val="en-US" w:eastAsia="zh-CN" w:bidi="ar"/>
              </w:rPr>
              <w:t>, once operational. SOC is an indicator of overall soil quality associated with nutrient cycling and its aggregate stability and structure with direct implications for water infiltration, soil biodiversity, vulnerability to erosion, and ultimately the productivity of vegetation, and in agricultural contexts, yields. SOC stocks reflect the balance between organic matter gains, dependent on plant productivity and management practices, and losses due to decomposition through the action of soil organisms and physical export through leaching and erosion.</w:t>
            </w:r>
            <w:r>
              <w:rPr>
                <w:rFonts w:hint="default" w:ascii="Calibri" w:hAnsi="Calibri" w:eastAsia="Calibri" w:cs="Calibri"/>
                <w:color w:val="404040"/>
                <w:kern w:val="0"/>
                <w:sz w:val="22"/>
                <w:szCs w:val="22"/>
                <w:vertAlign w:val="superscript"/>
                <w:lang w:val="en-US" w:eastAsia="zh-CN" w:bidi="ar"/>
              </w:rPr>
              <w:t>12</w:t>
            </w:r>
            <w:r>
              <w:rPr>
                <w:rFonts w:hint="default" w:ascii="Calibri" w:hAnsi="Calibri" w:eastAsia="Calibri" w:cs="Calibri"/>
                <w:color w:val="404040"/>
                <w:kern w:val="0"/>
                <w:sz w:val="22"/>
                <w:szCs w:val="22"/>
                <w:lang w:val="en-US" w:eastAsia="zh-CN" w:bidi="ar"/>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Forestry Commission 2022</w:t>
            </w:r>
          </w:p>
        </w:tc>
      </w:tr>
      <w:permEnd w:id="25"/>
      <w:tr>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Forestry Commission</w:t>
            </w:r>
          </w:p>
        </w:tc>
      </w:tr>
      <w:permEnd w:id="29"/>
      <w:tr>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812575"/>
            <w:bookmarkStart w:id="22" w:name="_Toc36655612"/>
            <w:bookmarkStart w:id="23" w:name="_Toc36812688"/>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In the last decade, there have been a number of global/regional targets and initiatives to halt and reverse land degradation and restore degraded land. Starting in 2010, these include the Aichi Biodiversity Targets, one of which aims to restore at least 15% of degraded ecosystems; the Bonn Challenge and its regional initiatives to restore more than 150 million hectares; and most recently the Sustainable Development Goals (SDGs), in particular SDG target 15.3. For each of the sub-indicators, countries can access a wide range of data sources, including Earth observation and geospatial information, while at the same time ensuring national ownership.27 The use of the existing national reporting templates of the UNCCD,28 which include the indicator and subindicators, provides a practical and harmonized approach to reporting on this indicator beginning in 2018 and every four years thereafter.29 The quantitative assessments and corresponding mapping at the national level, as required by this indicator, would help countries to set policy and planning priorities among diverse land resource areas, in particular: </w:t>
            </w:r>
          </w:p>
          <w:p>
            <w:pPr>
              <w:keepNext w:val="0"/>
              <w:keepLines w:val="0"/>
              <w:widowControl/>
              <w:suppressLineNumbers w:val="0"/>
              <w:spacing w:before="0" w:beforeAutospacing="0" w:afterAutospacing="0"/>
              <w:ind w:left="0" w:right="0"/>
              <w:rPr>
                <w:rFonts w:hint="default"/>
              </w:rPr>
            </w:pPr>
            <w:r>
              <w:rPr>
                <w:rFonts w:hint="default"/>
              </w:rPr>
              <w:t xml:space="preserve">• to identify hotspots and plan actions of redress, including through the conservation, rehabilitation, restoration and sustainable management of land resources; and </w:t>
            </w:r>
          </w:p>
          <w:p>
            <w:pPr>
              <w:keepNext w:val="0"/>
              <w:keepLines w:val="0"/>
              <w:widowControl/>
              <w:suppressLineNumbers w:val="0"/>
              <w:spacing w:before="0" w:beforeAutospacing="0" w:afterAutospacing="0"/>
              <w:ind w:left="0" w:right="0"/>
              <w:rPr>
                <w:rFonts w:hint="default"/>
              </w:rPr>
            </w:pPr>
            <w:r>
              <w:rPr>
                <w:rFonts w:hint="default"/>
              </w:rPr>
              <w:t>• to address emerging pressures to help avoid future land degradation.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20" w:afterAutospacing="0" w:line="268" w:lineRule="auto"/>
              <w:ind w:left="0" w:right="382"/>
              <w:jc w:val="left"/>
              <w:rPr>
                <w:rFonts w:hint="default" w:ascii="Calibri" w:hAnsi="Calibri" w:cs="Calibri"/>
                <w:sz w:val="22"/>
                <w:szCs w:val="22"/>
                <w:lang w:val="en-US"/>
              </w:rPr>
            </w:pPr>
            <w:r>
              <w:rPr>
                <w:rFonts w:hint="default" w:ascii="Calibri" w:hAnsi="Calibri" w:eastAsia="Calibri" w:cs="Calibri"/>
                <w:color w:val="404040"/>
                <w:kern w:val="0"/>
                <w:sz w:val="21"/>
                <w:szCs w:val="22"/>
                <w:lang w:val="en-US" w:eastAsia="zh-CN" w:bidi="ar"/>
              </w:rPr>
              <w:t xml:space="preserve"> </w:t>
            </w:r>
            <w:r>
              <w:rPr>
                <w:rFonts w:hint="default" w:ascii="Calibri" w:hAnsi="Calibri" w:eastAsia="Calibri" w:cs="Calibri"/>
                <w:color w:val="404040"/>
                <w:kern w:val="0"/>
                <w:sz w:val="22"/>
                <w:szCs w:val="22"/>
                <w:lang w:val="en-US" w:eastAsia="zh-CN" w:bidi="ar"/>
              </w:rPr>
              <w:t xml:space="preserve">The total area of land that is degraded over total land area is the accumulation across all land cover classes within the monitoring period </w:t>
            </w:r>
            <w:r>
              <w:rPr>
                <w:rFonts w:hint="default" w:ascii="Calibri" w:hAnsi="Calibri" w:eastAsia="Calibri" w:cs="Calibri"/>
                <w:i/>
                <w:iCs w:val="0"/>
                <w:color w:val="404040"/>
                <w:kern w:val="0"/>
                <w:sz w:val="22"/>
                <w:szCs w:val="22"/>
                <w:lang w:val="en-US" w:eastAsia="zh-CN" w:bidi="ar"/>
              </w:rPr>
              <w:t xml:space="preserve">n </w:t>
            </w:r>
            <w:r>
              <w:rPr>
                <w:rFonts w:hint="default" w:ascii="Calibri" w:hAnsi="Calibri" w:eastAsia="Calibri" w:cs="Calibri"/>
                <w:color w:val="404040"/>
                <w:kern w:val="0"/>
                <w:sz w:val="22"/>
                <w:szCs w:val="22"/>
                <w:lang w:val="en-US" w:eastAsia="zh-CN" w:bidi="ar"/>
              </w:rPr>
              <w:t xml:space="preserve">is given by: </w:t>
            </w:r>
          </w:p>
          <w:p>
            <w:pPr>
              <w:keepNext w:val="0"/>
              <w:keepLines w:val="0"/>
              <w:widowControl/>
              <w:suppressLineNumbers w:val="0"/>
              <w:tabs>
                <w:tab w:val="center" w:pos="4535"/>
                <w:tab w:val="center" w:pos="8392"/>
              </w:tabs>
              <w:spacing w:before="0" w:beforeAutospacing="0" w:after="129" w:afterAutospacing="0" w:line="256" w:lineRule="auto"/>
              <w:ind w:left="-15" w:right="0" w:firstLine="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 </w:t>
            </w:r>
            <w:r>
              <w:rPr>
                <w:rFonts w:hint="default" w:ascii="Calibri" w:hAnsi="Calibri" w:eastAsia="Calibri" w:cs="Calibri"/>
                <w:color w:val="404040"/>
                <w:kern w:val="0"/>
                <w:sz w:val="22"/>
                <w:szCs w:val="22"/>
                <w:lang w:val="en-CA" w:eastAsia="zh-CN" w:bidi="ar"/>
              </w:rPr>
              <w:t>A(Degraded)</w:t>
            </w:r>
            <w:r>
              <w:rPr>
                <w:rFonts w:hint="default" w:ascii="Calibri" w:hAnsi="Calibri" w:eastAsia="Calibri" w:cs="Calibri"/>
                <w:color w:val="404040"/>
                <w:kern w:val="0"/>
                <w:sz w:val="22"/>
                <w:szCs w:val="22"/>
                <w:lang w:val="en-US" w:eastAsia="zh-CN" w:bidi="ar"/>
              </w:rPr>
              <w:drawing>
                <wp:inline distT="0" distB="0" distL="114300" distR="114300">
                  <wp:extent cx="523875" cy="133350"/>
                  <wp:effectExtent l="0" t="0" r="9525" b="0"/>
                  <wp:docPr id="5" name="Picture 17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7289"/>
                          <pic:cNvPicPr>
                            <a:picLocks noChangeAspect="1"/>
                          </pic:cNvPicPr>
                        </pic:nvPicPr>
                        <pic:blipFill>
                          <a:blip r:embed="rId17"/>
                          <a:stretch>
                            <a:fillRect/>
                          </a:stretch>
                        </pic:blipFill>
                        <pic:spPr>
                          <a:xfrm>
                            <a:off x="0" y="0"/>
                            <a:ext cx="523875" cy="133350"/>
                          </a:xfrm>
                          <a:prstGeom prst="rect">
                            <a:avLst/>
                          </a:prstGeom>
                          <a:noFill/>
                          <a:ln>
                            <a:noFill/>
                          </a:ln>
                        </pic:spPr>
                      </pic:pic>
                    </a:graphicData>
                  </a:graphic>
                </wp:inline>
              </w:drawing>
            </w:r>
            <w:r>
              <w:rPr>
                <w:rFonts w:hint="default" w:ascii="Calibri" w:hAnsi="Calibri" w:eastAsia="Cambria Math" w:cs="Calibri"/>
                <w:color w:val="404040"/>
                <w:kern w:val="0"/>
                <w:sz w:val="22"/>
                <w:szCs w:val="22"/>
                <w:lang w:val="en-US" w:eastAsia="zh-CN" w:bidi="ar"/>
              </w:rPr>
              <w:t>(</w:t>
            </w:r>
            <w:r>
              <w:rPr>
                <w:rFonts w:hint="default" w:ascii="Calibri" w:hAnsi="Calibri" w:eastAsia="Cambria Math" w:cs="Calibri"/>
                <w:color w:val="404040"/>
                <w:kern w:val="0"/>
                <w:sz w:val="22"/>
                <w:szCs w:val="22"/>
                <w:lang w:val="en-CA" w:eastAsia="zh-CN" w:bidi="ar"/>
              </w:rPr>
              <w:t>Degraded)</w:t>
            </w:r>
            <w:r>
              <w:rPr>
                <w:rFonts w:hint="default" w:ascii="Calibri" w:hAnsi="Calibri" w:eastAsia="Cambria Math" w:cs="Calibri"/>
                <w:color w:val="404040"/>
                <w:kern w:val="0"/>
                <w:sz w:val="22"/>
                <w:szCs w:val="22"/>
                <w:vertAlign w:val="subscript"/>
                <w:lang w:val="en-CA" w:eastAsia="zh-CN" w:bidi="ar"/>
              </w:rPr>
              <w:t>i.n</w:t>
            </w:r>
            <w:r>
              <w:rPr>
                <w:rFonts w:hint="default" w:ascii="Calibri" w:hAnsi="Calibri" w:eastAsia="Calibri" w:cs="Calibri"/>
                <w:color w:val="404040"/>
                <w:kern w:val="0"/>
                <w:sz w:val="22"/>
                <w:szCs w:val="22"/>
                <w:lang w:val="en-US" w:eastAsia="zh-CN" w:bidi="ar"/>
              </w:rPr>
              <w:t xml:space="preserve"> </w:t>
            </w:r>
            <w:r>
              <w:rPr>
                <w:rFonts w:hint="default" w:ascii="Calibri" w:hAnsi="Calibri" w:eastAsia="Calibri" w:cs="Calibri"/>
                <w:color w:val="404040"/>
                <w:kern w:val="0"/>
                <w:sz w:val="22"/>
                <w:szCs w:val="22"/>
                <w:lang w:val="en-US" w:eastAsia="zh-CN" w:bidi="ar"/>
              </w:rPr>
              <w:tab/>
            </w:r>
          </w:p>
          <w:p>
            <w:pPr>
              <w:keepNext w:val="0"/>
              <w:keepLines w:val="0"/>
              <w:widowControl/>
              <w:suppressLineNumbers w:val="0"/>
              <w:spacing w:before="0" w:beforeAutospacing="0" w:after="136"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Where </w:t>
            </w:r>
          </w:p>
          <w:p>
            <w:pPr>
              <w:keepNext w:val="0"/>
              <w:keepLines w:val="0"/>
              <w:widowControl/>
              <w:suppressLineNumbers w:val="0"/>
              <w:spacing w:before="0" w:beforeAutospacing="0" w:after="160" w:afterAutospacing="0" w:line="268" w:lineRule="auto"/>
              <w:ind w:left="0" w:right="382"/>
              <w:jc w:val="left"/>
              <w:rPr>
                <w:rFonts w:hint="default" w:ascii="Calibri" w:hAnsi="Calibri" w:cs="Calibri"/>
                <w:sz w:val="22"/>
                <w:szCs w:val="22"/>
                <w:lang w:val="en-US"/>
              </w:rPr>
            </w:pPr>
            <w:r>
              <w:rPr>
                <w:rFonts w:hint="default" w:ascii="Calibri" w:hAnsi="Calibri" w:eastAsia="Cambria Math" w:cs="Calibri"/>
                <w:color w:val="404040"/>
                <w:kern w:val="0"/>
                <w:sz w:val="22"/>
                <w:szCs w:val="22"/>
                <w:vertAlign w:val="baseline"/>
                <w:lang w:val="en-CA" w:eastAsia="zh-CN" w:bidi="ar"/>
              </w:rPr>
              <w:t>A(Degraded)</w:t>
            </w:r>
            <w:r>
              <w:rPr>
                <w:rFonts w:hint="default" w:ascii="Calibri" w:hAnsi="Calibri" w:eastAsia="Cambria Math" w:cs="Calibri"/>
                <w:color w:val="404040"/>
                <w:kern w:val="0"/>
                <w:sz w:val="22"/>
                <w:szCs w:val="22"/>
                <w:vertAlign w:val="subscript"/>
                <w:lang w:val="en-US" w:eastAsia="zh-CN" w:bidi="ar"/>
              </w:rPr>
              <w:t>n</w:t>
            </w:r>
            <w:r>
              <w:rPr>
                <w:rFonts w:hint="default" w:ascii="Calibri" w:hAnsi="Calibri" w:eastAsia="Calibri" w:cs="Calibri"/>
                <w:color w:val="404040"/>
                <w:kern w:val="0"/>
                <w:sz w:val="22"/>
                <w:szCs w:val="22"/>
                <w:lang w:val="en-US" w:eastAsia="zh-CN" w:bidi="ar"/>
              </w:rPr>
              <w:t xml:space="preserve"> is the total area degraded in the year of monitoring </w:t>
            </w:r>
            <w:r>
              <w:rPr>
                <w:rFonts w:hint="default" w:ascii="Calibri" w:hAnsi="Calibri" w:eastAsia="Calibri" w:cs="Calibri"/>
                <w:i/>
                <w:iCs w:val="0"/>
                <w:color w:val="404040"/>
                <w:kern w:val="0"/>
                <w:sz w:val="22"/>
                <w:szCs w:val="22"/>
                <w:lang w:val="en-US" w:eastAsia="zh-CN" w:bidi="ar"/>
              </w:rPr>
              <w:t xml:space="preserve">n </w:t>
            </w:r>
            <w:r>
              <w:rPr>
                <w:rFonts w:hint="default" w:ascii="Calibri" w:hAnsi="Calibri" w:eastAsia="Calibri" w:cs="Calibri"/>
                <w:color w:val="404040"/>
                <w:kern w:val="0"/>
                <w:sz w:val="22"/>
                <w:szCs w:val="22"/>
                <w:lang w:val="en-US" w:eastAsia="zh-CN" w:bidi="ar"/>
              </w:rPr>
              <w:t xml:space="preserve">(ha); </w:t>
            </w:r>
          </w:p>
          <w:p>
            <w:pPr>
              <w:keepNext w:val="0"/>
              <w:keepLines w:val="0"/>
              <w:widowControl/>
              <w:suppressLineNumbers w:val="0"/>
              <w:spacing w:before="0" w:beforeAutospacing="0" w:after="144" w:afterAutospacing="0" w:line="268" w:lineRule="auto"/>
              <w:ind w:left="0" w:right="382"/>
              <w:jc w:val="left"/>
              <w:rPr>
                <w:rFonts w:hint="default" w:ascii="Calibri" w:hAnsi="Calibri" w:cs="Calibri"/>
                <w:sz w:val="22"/>
                <w:szCs w:val="22"/>
                <w:lang w:val="en-US"/>
              </w:rPr>
            </w:pPr>
            <w:r>
              <w:rPr>
                <w:rFonts w:hint="default" w:ascii="Calibri" w:hAnsi="Calibri" w:eastAsia="Calibri" w:cs="Calibri"/>
                <w:color w:val="404040"/>
                <w:kern w:val="0"/>
                <w:sz w:val="22"/>
                <w:szCs w:val="22"/>
                <w:lang w:val="en-CA" w:eastAsia="zh-CN" w:bidi="ar"/>
              </w:rPr>
              <w:t>A(Degraded)</w:t>
            </w:r>
            <w:r>
              <w:rPr>
                <w:rFonts w:hint="default" w:ascii="Calibri" w:hAnsi="Calibri" w:eastAsia="Calibri" w:cs="Calibri"/>
                <w:color w:val="404040"/>
                <w:kern w:val="0"/>
                <w:sz w:val="22"/>
                <w:szCs w:val="22"/>
                <w:vertAlign w:val="subscript"/>
                <w:lang w:val="en-CA" w:eastAsia="zh-CN" w:bidi="ar"/>
              </w:rPr>
              <w:t>I.n</w:t>
            </w:r>
            <w:r>
              <w:rPr>
                <w:rFonts w:hint="default" w:ascii="Calibri" w:hAnsi="Calibri" w:eastAsia="Calibri" w:cs="Calibri"/>
                <w:color w:val="404040"/>
                <w:kern w:val="0"/>
                <w:sz w:val="22"/>
                <w:szCs w:val="22"/>
                <w:lang w:val="en-CA" w:eastAsia="zh-CN" w:bidi="ar"/>
              </w:rPr>
              <w:t xml:space="preserve"> </w:t>
            </w:r>
            <w:r>
              <w:rPr>
                <w:rFonts w:hint="default" w:ascii="Calibri" w:hAnsi="Calibri" w:eastAsia="Calibri" w:cs="Calibri"/>
                <w:color w:val="404040"/>
                <w:kern w:val="0"/>
                <w:sz w:val="22"/>
                <w:szCs w:val="22"/>
                <w:lang w:val="en-US" w:eastAsia="zh-CN" w:bidi="ar"/>
              </w:rPr>
              <w:t xml:space="preserve">is the total area degraded in the land cover type </w:t>
            </w:r>
            <w:r>
              <w:rPr>
                <w:rFonts w:hint="default" w:ascii="Calibri" w:hAnsi="Calibri" w:eastAsia="Calibri" w:cs="Calibri"/>
                <w:i/>
                <w:iCs w:val="0"/>
                <w:color w:val="404040"/>
                <w:kern w:val="0"/>
                <w:sz w:val="22"/>
                <w:szCs w:val="22"/>
                <w:lang w:val="en-US" w:eastAsia="zh-CN" w:bidi="ar"/>
              </w:rPr>
              <w:t>i</w:t>
            </w:r>
            <w:r>
              <w:rPr>
                <w:rFonts w:hint="default" w:ascii="Calibri" w:hAnsi="Calibri" w:eastAsia="Calibri" w:cs="Calibri"/>
                <w:color w:val="404040"/>
                <w:kern w:val="0"/>
                <w:sz w:val="22"/>
                <w:szCs w:val="22"/>
                <w:lang w:val="en-US" w:eastAsia="zh-CN" w:bidi="ar"/>
              </w:rPr>
              <w:t xml:space="preserve"> in the year of monitoring </w:t>
            </w:r>
            <w:r>
              <w:rPr>
                <w:rFonts w:hint="default" w:ascii="Calibri" w:hAnsi="Calibri" w:eastAsia="Calibri" w:cs="Calibri"/>
                <w:i/>
                <w:iCs w:val="0"/>
                <w:color w:val="404040"/>
                <w:kern w:val="0"/>
                <w:sz w:val="22"/>
                <w:szCs w:val="22"/>
                <w:lang w:val="en-US" w:eastAsia="zh-CN" w:bidi="ar"/>
              </w:rPr>
              <w:t>n</w:t>
            </w:r>
            <w:r>
              <w:rPr>
                <w:rFonts w:hint="default" w:ascii="Calibri" w:hAnsi="Calibri" w:eastAsia="Calibri" w:cs="Calibri"/>
                <w:color w:val="404040"/>
                <w:kern w:val="0"/>
                <w:sz w:val="22"/>
                <w:szCs w:val="22"/>
                <w:lang w:val="en-US" w:eastAsia="zh-CN" w:bidi="ar"/>
              </w:rPr>
              <w:t xml:space="preserve">. </w:t>
            </w:r>
          </w:p>
          <w:p>
            <w:pPr>
              <w:keepNext w:val="0"/>
              <w:keepLines w:val="0"/>
              <w:widowControl/>
              <w:suppressLineNumbers w:val="0"/>
              <w:spacing w:before="0" w:beforeAutospacing="0" w:after="137" w:afterAutospacing="0" w:line="256" w:lineRule="auto"/>
              <w:ind w:left="0" w:right="0" w:firstLine="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 </w:t>
            </w:r>
          </w:p>
          <w:p>
            <w:pPr>
              <w:keepNext w:val="0"/>
              <w:keepLines w:val="0"/>
              <w:widowControl/>
              <w:suppressLineNumbers w:val="0"/>
              <w:spacing w:before="0" w:beforeAutospacing="0" w:after="70"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The total proportion of land that is degraded over total land area is given by: </w:t>
            </w:r>
          </w:p>
          <w:p>
            <w:pPr>
              <w:keepNext w:val="0"/>
              <w:keepLines w:val="0"/>
              <w:widowControl/>
              <w:suppressLineNumbers w:val="0"/>
              <w:spacing w:before="0" w:beforeAutospacing="0" w:after="10" w:afterAutospacing="0" w:line="256" w:lineRule="auto"/>
              <w:ind w:left="248" w:right="113" w:hanging="10"/>
              <w:jc w:val="center"/>
              <w:rPr>
                <w:rFonts w:hint="default" w:ascii="Calibri" w:hAnsi="Calibri" w:cs="Calibri"/>
                <w:sz w:val="22"/>
                <w:szCs w:val="22"/>
                <w:lang w:val="en-US"/>
              </w:rPr>
            </w:pPr>
            <w:r>
              <w:rPr>
                <w:rFonts w:hint="default" w:ascii="Calibri" w:hAnsi="Calibri" w:eastAsia="Cambria Math" w:cs="Calibri"/>
                <w:color w:val="404040"/>
                <w:kern w:val="0"/>
                <w:sz w:val="22"/>
                <w:szCs w:val="22"/>
                <w:lang w:val="en-US" w:eastAsia="zh-CN" w:bidi="ar"/>
              </w:rPr>
              <w:t>n</w:t>
            </w:r>
          </w:p>
          <w:p>
            <w:pPr>
              <w:keepNext w:val="0"/>
              <w:keepLines w:val="0"/>
              <w:widowControl/>
              <w:suppressLineNumbers w:val="0"/>
              <w:tabs>
                <w:tab w:val="center" w:pos="3982"/>
                <w:tab w:val="center" w:pos="4770"/>
                <w:tab w:val="center" w:pos="5295"/>
                <w:tab w:val="center" w:pos="8392"/>
              </w:tabs>
              <w:spacing w:before="0" w:beforeAutospacing="0" w:after="0" w:afterAutospacing="0" w:line="268" w:lineRule="auto"/>
              <w:ind w:left="-15" w:right="0" w:firstLine="0"/>
              <w:jc w:val="left"/>
              <w:rPr>
                <w:rFonts w:hint="default" w:ascii="Calibri" w:hAnsi="Calibri" w:cs="Calibri"/>
                <w:sz w:val="22"/>
                <w:szCs w:val="22"/>
                <w:lang w:val="en-CA"/>
              </w:rPr>
            </w:pPr>
            <w:r>
              <w:rPr>
                <w:rFonts w:hint="default" w:ascii="Calibri" w:hAnsi="Calibri" w:eastAsia="Calibri" w:cs="Calibri"/>
                <w:color w:val="404040"/>
                <w:kern w:val="0"/>
                <w:sz w:val="22"/>
                <w:szCs w:val="22"/>
                <w:lang w:val="en-US" w:eastAsia="zh-CN" w:bidi="ar"/>
              </w:rPr>
              <w:t xml:space="preserve"> </w:t>
            </w:r>
            <w:r>
              <w:rPr>
                <w:rFonts w:hint="default" w:ascii="Calibri" w:hAnsi="Calibri" w:eastAsia="Calibri" w:cs="Calibri"/>
                <w:color w:val="404040"/>
                <w:kern w:val="0"/>
                <w:sz w:val="22"/>
                <w:szCs w:val="22"/>
                <w:lang w:val="en-CA" w:eastAsia="zh-CN" w:bidi="ar"/>
              </w:rPr>
              <w:t>P</w:t>
            </w:r>
            <w:r>
              <w:rPr>
                <w:rFonts w:hint="default" w:ascii="Calibri" w:hAnsi="Calibri" w:eastAsia="Cambria Math" w:cs="Calibri"/>
                <w:color w:val="404040"/>
                <w:kern w:val="0"/>
                <w:sz w:val="22"/>
                <w:szCs w:val="22"/>
                <w:lang w:val="en-US" w:eastAsia="zh-CN" w:bidi="ar"/>
              </w:rPr>
              <w:t>n =</w:t>
            </w:r>
            <w:r>
              <w:rPr>
                <w:rFonts w:hint="default" w:ascii="Calibri" w:hAnsi="Calibri" w:eastAsia="Cambria Math" w:cs="Calibri"/>
                <w:color w:val="404040"/>
                <w:kern w:val="0"/>
                <w:sz w:val="22"/>
                <w:szCs w:val="22"/>
                <w:lang w:val="en-CA" w:eastAsia="zh-CN" w:bidi="ar"/>
              </w:rPr>
              <w:t>A(Degraded)</w:t>
            </w:r>
            <w:r>
              <w:rPr>
                <w:rFonts w:hint="default" w:ascii="Calibri" w:hAnsi="Calibri" w:eastAsia="Cambria Math" w:cs="Calibri"/>
                <w:color w:val="404040"/>
                <w:kern w:val="0"/>
                <w:sz w:val="22"/>
                <w:szCs w:val="22"/>
                <w:vertAlign w:val="subscript"/>
                <w:lang w:val="en-CA" w:eastAsia="zh-CN" w:bidi="ar"/>
              </w:rPr>
              <w:t>n</w:t>
            </w:r>
            <w:r>
              <w:rPr>
                <w:rFonts w:hint="default" w:ascii="Calibri" w:hAnsi="Calibri" w:eastAsia="Calibri" w:cs="Calibri"/>
                <w:color w:val="404040"/>
                <w:kern w:val="0"/>
                <w:sz w:val="22"/>
                <w:szCs w:val="22"/>
                <w:lang w:val="en-CA" w:eastAsia="zh-CN" w:bidi="ar"/>
              </w:rPr>
              <w:t xml:space="preserve"> / A(Total)</w:t>
            </w:r>
          </w:p>
          <w:p>
            <w:pPr>
              <w:keepNext w:val="0"/>
              <w:keepLines w:val="0"/>
              <w:widowControl/>
              <w:suppressLineNumbers w:val="0"/>
              <w:spacing w:before="0" w:beforeAutospacing="0" w:after="137" w:afterAutospacing="0" w:line="268" w:lineRule="auto"/>
              <w:ind w:left="-5" w:right="382" w:hanging="10"/>
              <w:jc w:val="left"/>
              <w:rPr>
                <w:rFonts w:hint="default" w:ascii="Calibri" w:hAnsi="Calibri" w:eastAsia="Calibri" w:cs="Calibri"/>
                <w:color w:val="404040"/>
                <w:kern w:val="0"/>
                <w:sz w:val="22"/>
                <w:szCs w:val="22"/>
                <w:lang w:val="en-US" w:eastAsia="zh-CN" w:bidi="ar"/>
              </w:rPr>
            </w:pPr>
          </w:p>
          <w:p>
            <w:pPr>
              <w:keepNext w:val="0"/>
              <w:keepLines w:val="0"/>
              <w:widowControl/>
              <w:suppressLineNumbers w:val="0"/>
              <w:spacing w:before="0" w:beforeAutospacing="0" w:after="137" w:afterAutospacing="0" w:line="268" w:lineRule="auto"/>
              <w:ind w:left="-5" w:right="382" w:hanging="1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Where </w:t>
            </w:r>
          </w:p>
          <w:p>
            <w:pPr>
              <w:keepNext w:val="0"/>
              <w:keepLines w:val="0"/>
              <w:widowControl/>
              <w:suppressLineNumbers w:val="0"/>
              <w:spacing w:before="0" w:beforeAutospacing="0" w:after="162" w:afterAutospacing="0" w:line="256" w:lineRule="auto"/>
              <w:ind w:left="715" w:right="0" w:hanging="10"/>
              <w:jc w:val="left"/>
              <w:rPr>
                <w:rFonts w:hint="default" w:ascii="Calibri" w:hAnsi="Calibri" w:cs="Calibri"/>
                <w:sz w:val="22"/>
                <w:szCs w:val="22"/>
                <w:lang w:val="en-US"/>
              </w:rPr>
            </w:pPr>
            <w:r>
              <w:rPr>
                <w:rFonts w:hint="default" w:ascii="Calibri" w:hAnsi="Calibri" w:eastAsia="Cambria Math" w:cs="Calibri"/>
                <w:color w:val="404040"/>
                <w:kern w:val="0"/>
                <w:sz w:val="22"/>
                <w:szCs w:val="22"/>
                <w:vertAlign w:val="baseline"/>
                <w:lang w:val="en-CA" w:eastAsia="zh-CN" w:bidi="ar"/>
              </w:rPr>
              <w:t>P</w:t>
            </w:r>
            <w:r>
              <w:rPr>
                <w:rFonts w:hint="default" w:ascii="Calibri" w:hAnsi="Calibri" w:eastAsia="Cambria Math" w:cs="Calibri"/>
                <w:color w:val="404040"/>
                <w:kern w:val="0"/>
                <w:sz w:val="22"/>
                <w:szCs w:val="22"/>
                <w:vertAlign w:val="subscript"/>
                <w:lang w:val="en-US" w:eastAsia="zh-CN" w:bidi="ar"/>
              </w:rPr>
              <w:t>n</w:t>
            </w:r>
            <w:r>
              <w:rPr>
                <w:rFonts w:hint="default" w:ascii="Calibri" w:hAnsi="Calibri" w:eastAsia="Cambria Math" w:cs="Calibri"/>
                <w:color w:val="404040"/>
                <w:kern w:val="0"/>
                <w:sz w:val="22"/>
                <w:szCs w:val="22"/>
                <w:lang w:val="en-US" w:eastAsia="zh-CN" w:bidi="ar"/>
              </w:rPr>
              <w:t xml:space="preserve"> is the proportion of land that is degraded over total land area; </w:t>
            </w:r>
          </w:p>
          <w:p>
            <w:pPr>
              <w:keepNext w:val="0"/>
              <w:keepLines w:val="0"/>
              <w:widowControl/>
              <w:suppressLineNumbers w:val="0"/>
              <w:spacing w:before="0" w:beforeAutospacing="0" w:after="162" w:afterAutospacing="0" w:line="256" w:lineRule="auto"/>
              <w:ind w:left="715" w:right="0" w:hanging="10"/>
              <w:jc w:val="left"/>
              <w:rPr>
                <w:rFonts w:hint="default" w:ascii="Calibri" w:hAnsi="Calibri" w:cs="Calibri"/>
                <w:sz w:val="22"/>
                <w:szCs w:val="22"/>
                <w:lang w:val="en-US"/>
              </w:rPr>
            </w:pPr>
            <w:r>
              <w:rPr>
                <w:rFonts w:hint="default" w:ascii="Calibri" w:hAnsi="Calibri" w:eastAsia="Cambria Math" w:cs="Calibri"/>
                <w:color w:val="404040"/>
                <w:kern w:val="0"/>
                <w:sz w:val="22"/>
                <w:szCs w:val="22"/>
                <w:vertAlign w:val="baseline"/>
                <w:lang w:val="en-CA" w:eastAsia="zh-CN" w:bidi="ar"/>
              </w:rPr>
              <w:t>A(Degraded)</w:t>
            </w:r>
            <w:r>
              <w:rPr>
                <w:rFonts w:hint="default" w:ascii="Calibri" w:hAnsi="Calibri" w:eastAsia="Cambria Math" w:cs="Calibri"/>
                <w:color w:val="404040"/>
                <w:kern w:val="0"/>
                <w:sz w:val="22"/>
                <w:szCs w:val="22"/>
                <w:vertAlign w:val="subscript"/>
                <w:lang w:val="en-US" w:eastAsia="zh-CN" w:bidi="ar"/>
              </w:rPr>
              <w:t>n</w:t>
            </w:r>
            <w:r>
              <w:rPr>
                <w:rFonts w:hint="default" w:ascii="Calibri" w:hAnsi="Calibri" w:eastAsia="Cambria Math" w:cs="Calibri"/>
                <w:color w:val="404040"/>
                <w:kern w:val="0"/>
                <w:sz w:val="22"/>
                <w:szCs w:val="22"/>
                <w:lang w:val="en-US" w:eastAsia="zh-CN" w:bidi="ar"/>
              </w:rPr>
              <w:t xml:space="preserve"> is the total area degraded in the year of monitoring n (ha); </w:t>
            </w:r>
          </w:p>
          <w:p>
            <w:pPr>
              <w:keepNext w:val="0"/>
              <w:keepLines w:val="0"/>
              <w:widowControl/>
              <w:suppressLineNumbers w:val="0"/>
              <w:spacing w:before="0" w:beforeAutospacing="0" w:after="8" w:afterAutospacing="0" w:line="268" w:lineRule="auto"/>
              <w:ind w:left="730" w:right="382" w:hanging="10"/>
              <w:jc w:val="left"/>
              <w:rPr>
                <w:rFonts w:hint="default" w:ascii="Calibri" w:hAnsi="Calibri" w:cs="Calibri"/>
                <w:sz w:val="22"/>
                <w:szCs w:val="22"/>
                <w:lang w:val="en-US"/>
              </w:rPr>
            </w:pPr>
            <w:r>
              <w:rPr>
                <w:rFonts w:hint="default" w:ascii="Calibri" w:hAnsi="Calibri" w:eastAsia="Cambria Math" w:cs="Calibri"/>
                <w:color w:val="404040"/>
                <w:kern w:val="0"/>
                <w:sz w:val="22"/>
                <w:szCs w:val="22"/>
                <w:lang w:val="en-US" w:eastAsia="zh-CN" w:bidi="ar"/>
              </w:rPr>
              <w:t>A(Total)</w:t>
            </w:r>
            <w:r>
              <w:rPr>
                <w:rFonts w:hint="default" w:ascii="Calibri" w:hAnsi="Calibri" w:eastAsia="Calibri" w:cs="Calibri"/>
                <w:color w:val="404040"/>
                <w:kern w:val="0"/>
                <w:sz w:val="22"/>
                <w:szCs w:val="22"/>
                <w:lang w:val="en-US" w:eastAsia="zh-CN" w:bidi="ar"/>
              </w:rPr>
              <w:t xml:space="preserve"> is the total area within the national boundary (ha). </w:t>
            </w:r>
          </w:p>
          <w:p>
            <w:pPr>
              <w:keepNext w:val="0"/>
              <w:keepLines w:val="0"/>
              <w:widowControl/>
              <w:suppressLineNumbers w:val="0"/>
              <w:spacing w:before="0" w:beforeAutospacing="0" w:after="14" w:afterAutospacing="0" w:line="256" w:lineRule="auto"/>
              <w:ind w:left="0" w:right="0" w:firstLine="0"/>
              <w:jc w:val="left"/>
              <w:rPr>
                <w:rFonts w:hint="default" w:ascii="Calibri" w:hAnsi="Calibri" w:cs="Calibri"/>
                <w:sz w:val="22"/>
                <w:szCs w:val="22"/>
                <w:lang w:val="en-US"/>
              </w:rPr>
            </w:pPr>
            <w:r>
              <w:rPr>
                <w:rFonts w:hint="default" w:ascii="Calibri" w:hAnsi="Calibri" w:eastAsia="Calibri" w:cs="Calibri"/>
                <w:color w:val="404040"/>
                <w:kern w:val="0"/>
                <w:sz w:val="22"/>
                <w:szCs w:val="22"/>
                <w:lang w:val="en-US" w:eastAsia="zh-CN" w:bidi="ar"/>
              </w:rPr>
              <w:t xml:space="preserve"> </w:t>
            </w:r>
          </w:p>
          <w:p>
            <w:pPr>
              <w:keepNext w:val="0"/>
              <w:keepLines w:val="0"/>
              <w:widowControl/>
              <w:suppressLineNumbers w:val="0"/>
              <w:spacing w:before="0" w:beforeAutospacing="0" w:after="14" w:afterAutospacing="0" w:line="268" w:lineRule="auto"/>
              <w:ind w:left="-5" w:right="382" w:hanging="10"/>
              <w:jc w:val="left"/>
              <w:rPr>
                <w:rFonts w:hint="default"/>
              </w:rPr>
            </w:pPr>
            <w:r>
              <w:rPr>
                <w:rFonts w:hint="default" w:ascii="Calibri" w:hAnsi="Calibri" w:eastAsia="Calibri" w:cs="Calibri"/>
                <w:color w:val="404040"/>
                <w:kern w:val="0"/>
                <w:sz w:val="22"/>
                <w:szCs w:val="22"/>
                <w:lang w:val="en-US" w:eastAsia="zh-CN" w:bidi="ar"/>
              </w:rPr>
              <w:t>The proportion is converted to a percentage value by multiplying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18">
    <w:p>
      <w:pPr>
        <w:spacing w:before="0" w:after="0" w:line="259" w:lineRule="auto"/>
      </w:pPr>
      <w:r>
        <w:separator/>
      </w:r>
    </w:p>
  </w:footnote>
  <w:footnote w:type="continuationSeparator" w:id="19">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54"/>
        <w:widowControl/>
        <w:spacing w:line="242" w:lineRule="auto"/>
        <w:ind w:right="1733"/>
        <w:rPr>
          <w:lang w:val="en-US"/>
        </w:rPr>
      </w:pPr>
    </w:p>
  </w:footnote>
  <w:footnote w:id="2">
    <w:p>
      <w:pPr>
        <w:pStyle w:val="54"/>
        <w:widowControl/>
        <w:spacing w:line="256" w:lineRule="auto"/>
        <w:rPr>
          <w:lang w:val="en-US"/>
        </w:rPr>
      </w:pPr>
    </w:p>
  </w:footnote>
  <w:footnote w:id="3">
    <w:p>
      <w:pPr>
        <w:pStyle w:val="54"/>
        <w:widowControl/>
        <w:spacing w:line="244" w:lineRule="auto"/>
        <w:ind w:right="499"/>
        <w:rPr>
          <w:lang w:val="en-US"/>
        </w:rPr>
      </w:pPr>
    </w:p>
  </w:footnote>
  <w:footnote w:id="4">
    <w:p>
      <w:pPr>
        <w:pStyle w:val="54"/>
        <w:widowControl/>
        <w:spacing w:line="242" w:lineRule="auto"/>
        <w:ind w:right="240"/>
        <w:rPr>
          <w:lang w:val="en-US"/>
        </w:rPr>
      </w:pPr>
      <w:r>
        <w:rPr>
          <w:rFonts w:hint="default" w:ascii="Calibri" w:hAnsi="Calibri" w:eastAsia="Calibri" w:cs="Calibri"/>
          <w:color w:val="404040"/>
          <w:kern w:val="0"/>
          <w:sz w:val="21"/>
          <w:szCs w:val="22"/>
          <w:lang w:val="en-US" w:eastAsia="zh-CN" w:bidi="ar"/>
        </w:rPr>
        <w:fldChar w:fldCharType="begin"/>
      </w:r>
      <w:r>
        <w:rPr>
          <w:rFonts w:hint="default" w:ascii="Calibri" w:hAnsi="Calibri" w:eastAsia="Calibri" w:cs="Calibri"/>
          <w:color w:val="404040"/>
          <w:kern w:val="0"/>
          <w:sz w:val="21"/>
          <w:szCs w:val="22"/>
          <w:lang w:val="en-US" w:eastAsia="zh-CN" w:bidi="ar"/>
        </w:rPr>
        <w:instrText xml:space="preserve"> HYPERLINK "https://www.unccd.int/publications/scientific-conceptual-framework-land-degradation-neutrality-report-science-policy" </w:instrText>
      </w:r>
      <w:r>
        <w:rPr>
          <w:rFonts w:hint="default" w:ascii="Calibri" w:hAnsi="Calibri" w:eastAsia="Calibri" w:cs="Calibri"/>
          <w:color w:val="404040"/>
          <w:kern w:val="0"/>
          <w:sz w:val="21"/>
          <w:szCs w:val="22"/>
          <w:lang w:val="en-US" w:eastAsia="zh-CN" w:bidi="ar"/>
        </w:rPr>
        <w:fldChar w:fldCharType="separate"/>
      </w:r>
      <w:r>
        <w:rPr>
          <w:rFonts w:hint="default" w:ascii="Calibri" w:hAnsi="Calibri" w:eastAsia="Calibri" w:cs="Calibri"/>
          <w:color w:val="404040"/>
          <w:kern w:val="0"/>
          <w:sz w:val="21"/>
          <w:szCs w:val="22"/>
          <w:lang w:val="en-US" w:eastAsia="zh-CN" w:bidi="ar"/>
        </w:rPr>
        <w:fldChar w:fldCharType="end"/>
      </w:r>
    </w:p>
  </w:footnote>
  <w:footnote w:id="5">
    <w:p>
      <w:pPr>
        <w:pStyle w:val="54"/>
        <w:widowControl/>
        <w:spacing w:line="259" w:lineRule="auto"/>
        <w:ind w:right="317"/>
        <w:rPr>
          <w:lang w:val="en-US"/>
        </w:rPr>
      </w:pPr>
    </w:p>
  </w:footnote>
  <w:footnote w:id="6">
    <w:p>
      <w:pPr>
        <w:pStyle w:val="54"/>
        <w:widowControl/>
        <w:spacing w:line="249" w:lineRule="auto"/>
        <w:rPr>
          <w:lang w:val="en-US"/>
        </w:rPr>
      </w:pPr>
    </w:p>
  </w:footnote>
  <w:footnote w:id="7">
    <w:p>
      <w:pPr>
        <w:pStyle w:val="54"/>
        <w:widowControl/>
        <w:rPr>
          <w:lang w:val="en-US"/>
        </w:rPr>
      </w:pPr>
    </w:p>
  </w:footnote>
  <w:footnote w:id="8">
    <w:p>
      <w:pPr>
        <w:pStyle w:val="54"/>
        <w:widowControl/>
        <w:spacing w:line="256" w:lineRule="auto"/>
        <w:rPr>
          <w:lang w:val="en-US"/>
        </w:rPr>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18"/>
    <w:footnote w:id="19"/>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28183D14"/>
    <w:rsid w:val="66F9586D"/>
    <w:rsid w:val="6A790745"/>
    <w:rsid w:val="6DF76B6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Calibr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footnote mark"/>
    <w:qFormat/>
    <w:uiPriority w:val="0"/>
    <w:rPr>
      <w:rFonts w:hint="default" w:ascii="Calibri" w:hAnsi="Calibri" w:eastAsia="Calibri" w:cs="Calibri"/>
      <w:color w:val="404040"/>
      <w:sz w:val="18"/>
      <w:vertAlign w:val="superscript"/>
    </w:rPr>
  </w:style>
  <w:style w:type="paragraph" w:customStyle="1" w:styleId="54">
    <w:name w:val="footnote description"/>
    <w:link w:val="55"/>
    <w:qFormat/>
    <w:uiPriority w:val="0"/>
    <w:pPr>
      <w:keepNext w:val="0"/>
      <w:keepLines w:val="0"/>
      <w:widowControl/>
      <w:suppressLineNumbers w:val="0"/>
      <w:spacing w:before="0" w:beforeAutospacing="0" w:after="0" w:afterAutospacing="0" w:line="254" w:lineRule="auto"/>
      <w:ind w:left="0" w:right="0" w:firstLine="0"/>
      <w:jc w:val="left"/>
    </w:pPr>
    <w:rPr>
      <w:rFonts w:hint="default" w:ascii="Calibri" w:hAnsi="Calibri" w:eastAsia="Calibri" w:cs="Calibri"/>
      <w:color w:val="404040"/>
      <w:kern w:val="0"/>
      <w:sz w:val="18"/>
      <w:szCs w:val="22"/>
      <w:lang w:val="en-US" w:eastAsia="zh-CN" w:bidi="ar"/>
    </w:rPr>
  </w:style>
  <w:style w:type="character" w:customStyle="1" w:styleId="55">
    <w:name w:val="footnote description Char"/>
    <w:link w:val="54"/>
    <w:qFormat/>
    <w:uiPriority w:val="0"/>
    <w:rPr>
      <w:rFonts w:hint="default" w:ascii="Calibri" w:hAnsi="Calibri" w:eastAsia="Calibri" w:cs="Calibri"/>
      <w:color w:val="404040"/>
      <w:sz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openxmlformats.org/officeDocument/2006/relationships/customXml" Target="../customXml/item4.xml"/><Relationship Id="rId20" Type="http://schemas.openxmlformats.org/officeDocument/2006/relationships/customXml" Target="../customXml/item3.xml"/><Relationship Id="rId2" Type="http://schemas.openxmlformats.org/officeDocument/2006/relationships/settings" Target="settings.xml"/><Relationship Id="rId19" Type="http://schemas.openxmlformats.org/officeDocument/2006/relationships/customXml" Target="../customXml/item2.xml"/><Relationship Id="rId18" Type="http://schemas.openxmlformats.org/officeDocument/2006/relationships/customXml" Target="../customXml/item1.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40</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2022-10-16T20:58:34Z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A12941BD42E74595BB797E57EBF0238C</vt:lpwstr>
  </property>
</Properties>
</file>