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eastAsiaTheme="minorEastAsia" w:cstheme="minorEastAsia"/>
                <w:sz w:val="22"/>
                <w:szCs w:val="22"/>
              </w:rPr>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16.5.1: Proportion of persons who had at least one contact with a public official and who paid a bribe to a public official, or were asked for a bribe by those public officials, during the previous 12 months</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16.3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In the International Classification of Crime for Statistical Purposes</w:t>
            </w:r>
            <w:r>
              <w:rPr>
                <w:rFonts w:eastAsia="Times New Roman" w:cs="Times New Roman"/>
                <w:color w:val="4A4A4A"/>
                <w:sz w:val="21"/>
                <w:szCs w:val="21"/>
                <w:lang w:eastAsia="en-GB"/>
              </w:rPr>
              <w:t xml:space="preserve"> </w:t>
            </w:r>
            <w:r>
              <w:rPr>
                <w:rFonts w:eastAsia="Times New Roman" w:cs="Times New Roman"/>
                <w:color w:val="4A4A4A"/>
                <w:sz w:val="22"/>
                <w:szCs w:val="22"/>
                <w:lang w:eastAsia="en-GB"/>
              </w:rPr>
              <w:t>(ICCS),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This definition is based on definitions of bribery of national public officials, bribery of foreign public officials and official of international organisations and bribery in the private sector that are contained in the United Nations Convention against Corruption (articles 15, 16, and 21).</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concept of undue advantage is operationalized by reference to giving of money, gifts or provision of a service requested/offered by/to a public official in exchange for a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For this indicator, public official refers to persons holding a legislative, executive, administrative or judicial office. In the operationalization of the indicator, a list of selected officials and civil servants is used.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5 years</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655612"/>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Proportion of persons who paid at least a bribe (gave a public official money, gift or did a public official favour) to a public official, or were asked for a bribe by these public officials, in the last 12 months, expressed as percentage of persons who had at least one contact with a public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7932748"/>
            <w:bookmarkStart w:id="28" w:name="_Toc36813076"/>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E145289"/>
    <w:rsid w:val="3F0A4615"/>
    <w:rsid w:val="643771A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6</TotalTime>
  <ScaleCrop>false</ScaleCrop>
  <LinksUpToDate>false</LinksUpToDate>
  <CharactersWithSpaces>1443903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2022-10-16T21:54:29Z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602EAE8A0063454B8F29E283A3EE3B19</vt:lpwstr>
  </property>
</Properties>
</file>