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17.3.2 Volume of remittances (in United States dollars) as a proportion of total GDP [17.3.2] (BX_TRF_PWKR)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bookmarkStart w:id="8" w:name="_Toc455354718"/>
            <w:r>
              <w:t>Indicator 17.3.2: Volume of remittances (in United States dollars) as a proportion of</w:t>
            </w:r>
            <w:bookmarkStart w:id="39" w:name="_GoBack"/>
            <w:bookmarkEnd w:id="39"/>
            <w:r>
              <w:t xml:space="preserve"> total GDP</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7932744"/>
            <w:bookmarkStart w:id="11" w:name="_Toc36813072"/>
            <w:bookmarkStart w:id="12" w:name="_Toc368125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813073"/>
            <w:bookmarkStart w:id="16" w:name="_Toc37932745"/>
            <w:bookmarkStart w:id="17" w:name="_Toc36812686"/>
            <w:bookmarkStart w:id="18" w:name="_Toc36655610"/>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 xml:space="preserve">Personal remittances received as proportion of GDP is the inflow of personal remittances expressed as a percentage of Gross Domestic Product (GDP). </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Personal remittances comprise of personal transfers and compensation of employees. Personal transfers consist of all current transfers in cash or in kind made or received by resident households to or from non-resident households. Personal transfers thus include all current transfers between resident and non-resident individuals. Compensation of employees refers to the income of border, seasonal, and other short-term workers who are employed in an economy where they are not resident and of residents employed by non-resident entities. Data are the sum of two items defined in the sixth edition of the IMF's Balance of Payments Manual: personal transfers and compensation of employees.</w:t>
            </w:r>
          </w:p>
          <w:p>
            <w:pPr>
              <w:pStyle w:val="56"/>
              <w:shd w:val="clear" w:color="auto" w:fill="FFFFFF"/>
              <w:spacing w:before="0" w:beforeAutospacing="0" w:after="0" w:afterAutospacing="0"/>
              <w:rPr>
                <w:rFonts w:asciiTheme="minorHAnsi" w:hAnsiTheme="minorHAnsi"/>
                <w:color w:val="4A4A4A"/>
                <w:sz w:val="22"/>
                <w:szCs w:val="22"/>
              </w:rPr>
            </w:pPr>
          </w:p>
          <w:p>
            <w:pPr>
              <w:pStyle w:val="56"/>
              <w:shd w:val="clear" w:color="auto" w:fill="FFFFFF"/>
              <w:spacing w:before="0" w:beforeAutospacing="0" w:after="0" w:afterAutospacing="0"/>
            </w:pPr>
            <w:r>
              <w:rPr>
                <w:rFonts w:asciiTheme="minorHAnsi" w:hAnsiTheme="minorHAnsi"/>
                <w:color w:val="4A4A4A"/>
                <w:sz w:val="22"/>
                <w:szCs w:val="22"/>
              </w:rPr>
              <w:t>The concepts used are in line with the Sixth Edition of the IMF's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Ministry of Finance, Budget Statement and Economic Policy 2018-2020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3075"/>
            <w:bookmarkStart w:id="22" w:name="_Toc36812575"/>
            <w:bookmarkStart w:id="23" w:name="_Toc36812688"/>
            <w:bookmarkStart w:id="24" w:name="_Toc36655612"/>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3076"/>
            <w:bookmarkStart w:id="29" w:name="_Toc37932748"/>
            <w:bookmarkStart w:id="30" w:name="_Toc36812689"/>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0B5F"/>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729"/>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F46066B"/>
    <w:rsid w:val="33D15565"/>
    <w:rsid w:val="52B65BD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semiHidden="0"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215571</Words>
  <Characters>1228755</Characters>
  <Lines>10239</Lines>
  <Paragraphs>2882</Paragraphs>
  <TotalTime>6</TotalTime>
  <ScaleCrop>false</ScaleCrop>
  <LinksUpToDate>false</LinksUpToDate>
  <CharactersWithSpaces>1441444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2021-11-29T11:51:00Z</dcterms:created>
  <dc:creator>Fanning, Stephen B (JMD)</dc:creator>
  <cp:lastModifiedBy>Doreen</cp:lastModifiedBy>
  <cp:lastPrinted>2020-04-16T14:23:00Z</cp:lastPrinted>
  <dcterms:modified xsi:type="dcterms:W3CDTF">2022-10-16T21:12:04Z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6CF7539CE1DE48F187DAC47DFFBBA5E4</vt:lpwstr>
  </property>
</Properties>
</file>