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17.4.1 Debt service as a proportion of exports of goods and services [17.4.1] (DT_TDS_DECT)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571"/>
            <w:bookmarkStart w:id="5" w:name="_Toc37932743"/>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17: Strengthen the means of implementation and revitalize the Global Partnership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pPr>
            <w:r>
              <w:rPr>
                <w:rFonts w:asciiTheme="minorHAnsi" w:hAnsiTheme="minorHAnsi" w:cstheme="minorHAnsi"/>
                <w:color w:val="333333"/>
              </w:rPr>
              <w:t>Target 17.4: 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bookmarkStart w:id="8" w:name="_Toc455354719"/>
            <w:r>
              <w:t>Indicator 17.4.1: Debt service as a proportion of exports of goods and se</w:t>
            </w:r>
            <w:bookmarkStart w:id="39" w:name="_GoBack"/>
            <w:bookmarkEnd w:id="39"/>
            <w:r>
              <w:t>rvices</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pPr>
            <w:r>
              <w:rPr>
                <w:rFonts w:asciiTheme="minorHAnsi" w:hAnsiTheme="minorHAnsi" w:cs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7932744"/>
            <w:bookmarkStart w:id="10" w:name="_Toc36812685"/>
            <w:bookmarkStart w:id="11" w:name="_Toc36812572"/>
            <w:bookmarkStart w:id="12" w:name="_Toc36655609"/>
            <w:bookmarkStart w:id="13" w:name="_Toc36813072"/>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cstheme="minorHAnsi"/>
                <w:iCs/>
                <w:lang w:val="en-GB"/>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6813073"/>
            <w:bookmarkStart w:id="16" w:name="_Toc36655610"/>
            <w:bookmarkStart w:id="17" w:name="_Toc36812686"/>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heme="minorHAnsi"/>
                <w:color w:val="4A4A4A"/>
                <w:sz w:val="22"/>
                <w:szCs w:val="22"/>
              </w:rPr>
            </w:pPr>
            <w:r>
              <w:rPr>
                <w:rStyle w:val="20"/>
                <w:rFonts w:cstheme="minorHAnsi"/>
                <w:color w:val="4A4A4A"/>
                <w:sz w:val="22"/>
                <w:szCs w:val="22"/>
              </w:rPr>
              <w:t>Definition:</w:t>
            </w:r>
          </w:p>
          <w:p>
            <w:pPr>
              <w:shd w:val="clear" w:color="auto" w:fill="FFFFFF"/>
              <w:spacing w:after="0"/>
              <w:rPr>
                <w:rFonts w:cstheme="minorHAnsi"/>
                <w:color w:val="4A4A4A"/>
                <w:sz w:val="22"/>
                <w:szCs w:val="22"/>
              </w:rPr>
            </w:pPr>
          </w:p>
          <w:p>
            <w:pPr>
              <w:pStyle w:val="56"/>
              <w:shd w:val="clear" w:color="auto" w:fill="FFFFFF"/>
              <w:spacing w:before="0" w:beforeAutospacing="0" w:after="0" w:afterAutospacing="0"/>
              <w:rPr>
                <w:rFonts w:asciiTheme="minorHAnsi" w:hAnsiTheme="minorHAnsi" w:cstheme="minorHAnsi"/>
                <w:color w:val="4A4A4A"/>
                <w:sz w:val="22"/>
                <w:szCs w:val="22"/>
              </w:rPr>
            </w:pPr>
            <w:r>
              <w:rPr>
                <w:rFonts w:asciiTheme="minorHAnsi" w:hAnsiTheme="minorHAnsi" w:cstheme="minorHAnsi"/>
                <w:color w:val="4A4A4A"/>
                <w:sz w:val="22"/>
                <w:szCs w:val="22"/>
              </w:rPr>
              <w:t>Debt service as proportion of exports of goods and services is the percentage of debt services (principle and interest payments) to the exports of goods and services. Debt services covered in this indicator refer only to public and publicly guaranteed debt..</w:t>
            </w:r>
          </w:p>
          <w:p>
            <w:pPr>
              <w:pStyle w:val="56"/>
              <w:shd w:val="clear" w:color="auto" w:fill="FFFFFF"/>
              <w:spacing w:before="0" w:beforeAutospacing="0" w:after="0" w:afterAutospacing="0"/>
              <w:rPr>
                <w:rFonts w:asciiTheme="minorHAnsi" w:hAnsiTheme="minorHAnsi" w:cstheme="minorHAnsi"/>
                <w:color w:val="4A4A4A"/>
                <w:sz w:val="22"/>
                <w:szCs w:val="22"/>
              </w:rPr>
            </w:pPr>
          </w:p>
          <w:p>
            <w:pPr>
              <w:shd w:val="clear" w:color="auto" w:fill="FFFFFF"/>
              <w:spacing w:after="0"/>
              <w:rPr>
                <w:rFonts w:cstheme="minorHAnsi"/>
                <w:color w:val="4A4A4A"/>
                <w:sz w:val="22"/>
                <w:szCs w:val="22"/>
              </w:rPr>
            </w:pPr>
            <w:r>
              <w:rPr>
                <w:rStyle w:val="20"/>
                <w:rFonts w:cstheme="minorHAnsi"/>
                <w:color w:val="4A4A4A"/>
                <w:sz w:val="22"/>
                <w:szCs w:val="22"/>
              </w:rPr>
              <w:t>Concepts:</w:t>
            </w:r>
          </w:p>
          <w:p>
            <w:pPr>
              <w:shd w:val="clear" w:color="auto" w:fill="FFFFFF"/>
              <w:spacing w:after="0"/>
              <w:rPr>
                <w:rFonts w:cstheme="minorHAnsi"/>
                <w:color w:val="4A4A4A"/>
                <w:sz w:val="22"/>
                <w:szCs w:val="22"/>
              </w:rPr>
            </w:pPr>
          </w:p>
          <w:p>
            <w:pPr>
              <w:pStyle w:val="56"/>
              <w:shd w:val="clear" w:color="auto" w:fill="FFFFFF"/>
              <w:spacing w:before="0" w:beforeAutospacing="0" w:after="0" w:afterAutospacing="0"/>
              <w:rPr>
                <w:rFonts w:asciiTheme="minorHAnsi" w:hAnsiTheme="minorHAnsi" w:cstheme="minorHAnsi"/>
                <w:color w:val="4A4A4A"/>
                <w:sz w:val="22"/>
                <w:szCs w:val="22"/>
              </w:rPr>
            </w:pPr>
            <w:r>
              <w:rPr>
                <w:rFonts w:asciiTheme="minorHAnsi" w:hAnsiTheme="minorHAnsi" w:cstheme="minorHAnsi"/>
                <w:color w:val="4A4A4A"/>
                <w:sz w:val="22"/>
                <w:szCs w:val="22"/>
              </w:rPr>
              <w:t>Concepts of public and publicly guaranteed external debt data are in accordance with the sixth edition of the Balance of Payments and International Investment Position Manual (BPM6) methodology.</w:t>
            </w:r>
          </w:p>
          <w:p>
            <w:pPr>
              <w:pStyle w:val="56"/>
              <w:shd w:val="clear" w:color="auto" w:fill="FFFFFF"/>
              <w:spacing w:before="0" w:beforeAutospacing="0" w:after="0" w:afterAutospacing="0"/>
              <w:rPr>
                <w:rFonts w:asciiTheme="minorHAnsi" w:hAnsiTheme="minorHAnsi" w:cstheme="minorHAnsi"/>
                <w:color w:val="4A4A4A"/>
                <w:sz w:val="22"/>
                <w:szCs w:val="22"/>
              </w:rPr>
            </w:pPr>
          </w:p>
          <w:p>
            <w:pPr>
              <w:pStyle w:val="56"/>
              <w:shd w:val="clear" w:color="auto" w:fill="FFFFFF"/>
              <w:spacing w:before="0" w:beforeAutospacing="0" w:after="0" w:afterAutospacing="0"/>
            </w:pPr>
            <w:r>
              <w:rPr>
                <w:rFonts w:asciiTheme="minorHAnsi" w:hAnsiTheme="minorHAnsi" w:cstheme="minorHAnsi"/>
                <w:color w:val="4A4A4A"/>
                <w:sz w:val="22"/>
                <w:szCs w:val="22"/>
              </w:rPr>
              <w:t>“Exports of goods and services” data concepts are in accordance with the sixth edition of the Balance of Payments and International Investment Position Manual (BPM6).</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7932746"/>
            <w:bookmarkStart w:id="20" w:name="_Toc36813074"/>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lang w:val="en-GB"/>
              </w:rPr>
              <w:t>Ministry of Finance, 2020 fiscal data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2689"/>
            <w:bookmarkStart w:id="27" w:name="_Toc36655613"/>
            <w:bookmarkStart w:id="28" w:name="_Toc36813076"/>
            <w:bookmarkStart w:id="29" w:name="_Toc36812576"/>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1488"/>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62ED"/>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E6C1C37"/>
    <w:rsid w:val="272770E0"/>
    <w:rsid w:val="46FE6CE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3126"/>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215536</Words>
  <Characters>1228561</Characters>
  <Lines>10238</Lines>
  <Paragraphs>2882</Paragraphs>
  <TotalTime>5</TotalTime>
  <ScaleCrop>false</ScaleCrop>
  <LinksUpToDate>false</LinksUpToDate>
  <CharactersWithSpaces>1441215</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2021-11-29T12:08:00Z</dcterms:created>
  <dc:creator>Fanning, Stephen B (JMD)</dc:creator>
  <cp:lastModifiedBy>Doreen</cp:lastModifiedBy>
  <cp:lastPrinted>2020-04-16T14:23:00Z</cp:lastPrinted>
  <dcterms:modified xsi:type="dcterms:W3CDTF">2022-10-16T21:13:33Z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675532458D8B474A87B106B8B8289A09</vt:lpwstr>
  </property>
</Properties>
</file>