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1.2.2 Proportion of population living in poverty in all its dimensions according to national definitions [1.2.2] (SI_POV_NMPI)</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7932743"/>
            <w:bookmarkStart w:id="5" w:name="_Toc36812684"/>
            <w:bookmarkStart w:id="6" w:name="_Toc36655608"/>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rPr>
                <w:rFonts w:asciiTheme="minorHAnsi" w:hAnsiTheme="minorHAnsi" w:cstheme="minorHAnsi"/>
                <w:color w:val="auto"/>
                <w:sz w:val="22"/>
                <w:szCs w:val="22"/>
              </w:rPr>
            </w:pPr>
            <w:r>
              <w:fldChar w:fldCharType="begin"/>
            </w:r>
            <w:r>
              <w:instrText xml:space="preserve"> HYPERLINK "https://sustainabledevelopment-ghana.github.io/no-poverty" </w:instrText>
            </w:r>
            <w:r>
              <w:fldChar w:fldCharType="separate"/>
            </w:r>
            <w:r>
              <w:rPr>
                <w:rStyle w:val="54"/>
                <w:rFonts w:asciiTheme="minorHAnsi" w:hAnsiTheme="minorHAnsi" w:cstheme="minorHAnsi"/>
                <w:color w:val="auto"/>
                <w:sz w:val="22"/>
                <w:szCs w:val="22"/>
              </w:rPr>
              <w:t xml:space="preserve">Goal 1: </w:t>
            </w:r>
            <w:r>
              <w:rPr>
                <w:rStyle w:val="18"/>
                <w:rFonts w:asciiTheme="minorHAnsi" w:hAnsiTheme="minorHAnsi" w:cstheme="minorHAnsi"/>
                <w:color w:val="auto"/>
                <w:sz w:val="22"/>
                <w:szCs w:val="22"/>
                <w:u w:val="none"/>
              </w:rPr>
              <w:t>End poverty in all its forms everywhere</w:t>
            </w:r>
            <w:r>
              <w:rPr>
                <w:rStyle w:val="18"/>
                <w:rFonts w:asciiTheme="minorHAnsi" w:hAnsiTheme="minorHAnsi" w:cstheme="minorHAnsi"/>
                <w:color w:val="auto"/>
                <w:sz w:val="22"/>
                <w:szCs w:val="22"/>
                <w:u w:val="none"/>
              </w:rPr>
              <w:fldChar w:fldCharType="end"/>
            </w:r>
          </w:p>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pPr>
            <w:r>
              <w:t>Target 1.2: By 2030, reduce at least by half the proportion of men, women and children of all ages living in poverty in all its dimensions according to national definitions</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rPr>
                <w:rFonts w:asciiTheme="minorHAnsi" w:hAnsiTheme="minorHAnsi" w:cstheme="minorHAnsi"/>
                <w:color w:val="auto"/>
                <w:sz w:val="22"/>
                <w:szCs w:val="22"/>
              </w:rPr>
            </w:pPr>
            <w:r>
              <w:rPr>
                <w:rFonts w:asciiTheme="minorHAnsi" w:hAnsiTheme="minorHAnsi" w:cstheme="minorHAnsi"/>
                <w:color w:val="auto"/>
                <w:sz w:val="22"/>
                <w:szCs w:val="22"/>
              </w:rPr>
              <w:t>Indicator 1.2.2: Proportion of men, women and children of all ages living in poverty in all its dimensions according to national definitions.</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rPr>
                <w:color w:val="4A4A4A"/>
              </w:rPr>
            </w:pPr>
            <w:r>
              <w:t>The World Bank, UNICEF, UNDP</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7932744"/>
            <w:bookmarkStart w:id="10" w:name="_Toc36812572"/>
            <w:bookmarkStart w:id="11" w:name="_Toc36812685"/>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UNICEF</w:t>
            </w:r>
          </w:p>
          <w:p>
            <w:r>
              <w:t xml:space="preserve">Ghana Statistical Service </w:t>
            </w:r>
          </w:p>
          <w:p>
            <w:r>
              <w:t>National Development Planning Commission (NDPC)</w:t>
            </w:r>
          </w:p>
          <w:p>
            <w:r>
              <w:t xml:space="preserve"> </w:t>
            </w:r>
          </w:p>
          <w:p>
            <w:r>
              <w:t xml:space="preserve"> </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573"/>
            <w:bookmarkStart w:id="15" w:name="_Toc36812686"/>
            <w:bookmarkStart w:id="16" w:name="_Toc37932745"/>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Times New Roman" w:hAnsi="Times New Roman" w:cs="Times New Roman"/>
                <w:b/>
                <w:bCs/>
                <w:i w:val="0"/>
                <w:iCs w:val="0"/>
                <w:caps w:val="0"/>
                <w:color w:val="000000"/>
                <w:spacing w:val="0"/>
                <w:sz w:val="27"/>
                <w:szCs w:val="27"/>
              </w:rPr>
            </w:pPr>
            <w:r>
              <w:rPr>
                <w:rFonts w:hint="default" w:ascii="Times New Roman" w:hAnsi="Times New Roman" w:eastAsia="SimSun" w:cs="Times New Roman"/>
                <w:b/>
                <w:bCs/>
                <w:i w:val="0"/>
                <w:iCs w:val="0"/>
                <w:caps w:val="0"/>
                <w:color w:val="000000"/>
                <w:spacing w:val="0"/>
                <w:sz w:val="27"/>
                <w:szCs w:val="27"/>
              </w:rPr>
              <w:t>Definition:</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The following four series are used to monitor the SDG 1.2.2.</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1) Official multidimensional poverty headcount, by sex, and age (% of population)</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 The percentage of people who are multidimensionally poor</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2) Average share of weighted deprivations (intensity) for total population</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 The average share of weighted dimensions in which poor people are deprived among total population</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3) Official multidimensional poverty headcount (% of total households)</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 The percentage of households who are multidimensionally poor</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4) Average share of weighted deprivations (intensity) for total households</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 The average share of weighted dimensions in which poor people are deprived among total households</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5) Multidimensional deprivation for children (% of population under 18)</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 The percentage of children who are simultaneously deprived in multiple dimensions of well-being</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b/>
                <w:bCs/>
                <w:i w:val="0"/>
                <w:iCs w:val="0"/>
                <w:caps w:val="0"/>
                <w:color w:val="000000"/>
                <w:spacing w:val="0"/>
                <w:sz w:val="27"/>
                <w:szCs w:val="27"/>
              </w:rPr>
              <w:t>Concepts:</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The design of a measure of multidimensional poverty is different in each country, but regardless of the exact methodology selected, it still follows a similar process to define the features of the measure, which include: i) the purpose of the measure; ii) the unit of identification (most frequently either the household or the individuals); iii) the dimensions and respective indicators that delimit which deprivations should be measured; iv) the methodology for developing the measure (including deprivation cut-offs, weights, and poverty cut-offs).</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The most commonly used method is the Alkire Foster (AF) methodology which identifies dimensions, typically health, education and living standards and several indicators in each dimension. The unit of analysis could be either the individual or the household. The individuals or households are considered as multidimensionally poor if they are deprived in multiple dimensions, exceeding certain thresholds.</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EU countries, North Macedonia and Turkey have a different approach to measure the multidimensional poverty using the concept of "people at risk of poverty or social exclusion" (AROPE) calculated by EUROSTAT using the data from EU statistics on income and living conditions (EU-SILC). AROPE consists of three indicators, and individuals are considered as "at risk of poverty or social exclusion" if they are "at risk of poverty" or "severely materially deprived" or "living in a household with a very low work intensity".</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There is a multidimensional poverty measure specifically designed for children. A child is considered multidimensionally poor if s/he is simultaneously deprived in multiple dimensions. It identifies the dimensions of poverty and the indicators under each dimension, and has a similar structure to the AF methodology. However, it is different in that it focuses on the life-cycle of children, creating different sets of dimensions and indicators for different age groups (e.g., for ages 0-4, 5-11, 12-14, 15-17 years), and conducts analyses separately for each age group. In the global SDG database, the multidimensional poverty headcount (%) for the overall 0-17 age group has been used for countries reporting individual measures of child multidimensional poverty.</w:t>
            </w:r>
          </w:p>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and local currency</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r>
              <w:t>Survey and primary sourced data</w:t>
            </w: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ascii="Sitka Subheading" w:hAnsi="Sitka Subheading"/>
                <w:i/>
                <w:iCs/>
                <w:sz w:val="20"/>
                <w:szCs w:val="20"/>
              </w:rPr>
            </w:pPr>
            <w:r>
              <w:rPr>
                <w:rFonts w:ascii="Sitka Subheading" w:hAnsi="Sitka Subheading"/>
                <w:i/>
                <w:iCs/>
                <w:sz w:val="20"/>
                <w:szCs w:val="20"/>
              </w:rPr>
              <w:t>Multi-dimensional child Poverty in Ghana, 2020) -</w:t>
            </w:r>
            <w:r>
              <w:rPr>
                <w:rFonts w:ascii="Sitka Subheading" w:hAnsi="Sitka Subheading"/>
                <w:sz w:val="20"/>
                <w:szCs w:val="20"/>
              </w:rPr>
              <w:t xml:space="preserve"> UNICEF</w:t>
            </w:r>
          </w:p>
          <w:p>
            <w:r>
              <w:rPr>
                <w:rFonts w:ascii="Sitka Subheading" w:hAnsi="Sitka Subheading"/>
                <w:i/>
                <w:iCs/>
                <w:sz w:val="20"/>
                <w:szCs w:val="20"/>
              </w:rPr>
              <w:t xml:space="preserve">Multidimensional poverty, Ghana living standards survey, Ghana Multiple indicator Cluster survey – </w:t>
            </w:r>
            <w:r>
              <w:rPr>
                <w:rFonts w:ascii="Sitka Subheading" w:hAnsi="Sitka Subheading"/>
                <w:sz w:val="20"/>
                <w:szCs w:val="20"/>
              </w:rPr>
              <w:t>Ghana statistical service.</w:t>
            </w:r>
            <w:r>
              <w:rPr>
                <w:rFonts w:ascii="Sitka Subheading" w:hAnsi="Sitka Subheading"/>
                <w:sz w:val="20"/>
                <w:szCs w:val="20"/>
              </w:rPr>
              <w:br w:type="textWrapping"/>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UNICEF,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3075"/>
            <w:bookmarkStart w:id="22" w:name="_Toc37932747"/>
            <w:bookmarkStart w:id="23" w:name="_Toc36812575"/>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Poverty has traditionally been defined as the lack of money. However, the poor themselves consider their experience of poverty much more broadly. A person who is poor can suffer multiple disadvantages at the same time – for example, they may have poor health or malnutrition, a lack of clean water or electricity, poor quality of work or little schooling. Focusing on one factor alone, such as income, is not enough to capture the true reality of poverty. Therefore, multidimensional poverty measures described above have been developed to create a more comprehensive picture by looking at multiple dimensions such as health,</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education, living standards. Official multidimensional poverty headcount (% population), official multidimensional poverty headcount (% of total households) and multidimensional deprivation for children (% of population under 18) are all about the headcount ratio trying to capture how many people, households, or children in the entire pool are regarded as multidimensionally poor. On the other hand, average share of weighted deprivation tries to capture the depth of multidimensional poverty. For instance, if there are 18 indicators to capture different dimensions of poverty, the person who is deprived in 5 indicators, and the person who is deprived in 15 indicators are considered to be both multidimensionally poor. However, the 'intensity' of the poverty is different between these two people, which is captured by the average share of weighted deprivation.</w:t>
            </w:r>
          </w:p>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bookmarkStart w:id="38" w:name="_GoBack"/>
            <w:bookmarkEnd w:id="38"/>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2576"/>
            <w:bookmarkStart w:id="27" w:name="_Toc36655613"/>
            <w:bookmarkStart w:id="28" w:name="_Toc36812689"/>
            <w:bookmarkStart w:id="29" w:name="_Toc36813076"/>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t>Organization for Economic Cooperation and Development, poverty Rate 2022</w:t>
            </w:r>
          </w:p>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egoe UI">
    <w:panose1 w:val="020B0502040204020203"/>
    <w:charset w:val="00"/>
    <w:family w:val="swiss"/>
    <w:pitch w:val="default"/>
    <w:sig w:usb0="E4002EFF" w:usb1="C000E47F" w:usb2="00000009" w:usb3="00000000" w:csb0="200001FF" w:csb1="00000000"/>
  </w:font>
  <w:font w:name="Sitka Subheading">
    <w:panose1 w:val="00000000000000000000"/>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5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538D"/>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D4E02"/>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372A"/>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4366"/>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4712"/>
    <w:rsid w:val="00B908BB"/>
    <w:rsid w:val="00B97297"/>
    <w:rsid w:val="00B979B1"/>
    <w:rsid w:val="00BA71B8"/>
    <w:rsid w:val="00BB553B"/>
    <w:rsid w:val="00BD5060"/>
    <w:rsid w:val="00BD7158"/>
    <w:rsid w:val="00C057EA"/>
    <w:rsid w:val="00C05B22"/>
    <w:rsid w:val="00C141AF"/>
    <w:rsid w:val="00C175B6"/>
    <w:rsid w:val="00C210B4"/>
    <w:rsid w:val="00C22A2E"/>
    <w:rsid w:val="00C41767"/>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1ABE"/>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B4A19"/>
    <w:rsid w:val="00FD54D7"/>
    <w:rsid w:val="00FF642D"/>
    <w:rsid w:val="4AA054E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7"/>
    <w:semiHidden/>
    <w:unhideWhenUsed/>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50"/>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5"/>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2"/>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4"/>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uiPriority w:val="99"/>
    <w:pPr>
      <w:spacing w:before="0" w:beforeAutospacing="1" w:after="0" w:afterAutospacing="1"/>
      <w:ind w:left="0" w:right="0"/>
      <w:jc w:val="left"/>
    </w:pPr>
    <w:rPr>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uiPriority w:val="39"/>
    <w:pPr>
      <w:spacing w:after="100"/>
      <w:ind w:left="220"/>
    </w:pPr>
  </w:style>
  <w:style w:type="paragraph" w:styleId="25">
    <w:name w:val="toc 3"/>
    <w:basedOn w:val="1"/>
    <w:next w:val="1"/>
    <w:unhideWhenUsed/>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uiPriority w:val="0"/>
    <w:rPr>
      <w:rFonts w:eastAsia="Times New Roman" w:cs="Times New Roman"/>
      <w:color w:val="1C75BC"/>
      <w:shd w:val="clear" w:color="auto" w:fill="F5F5F5"/>
      <w:lang w:val="en-GB" w:eastAsia="en-GB"/>
    </w:rPr>
  </w:style>
  <w:style w:type="character" w:customStyle="1" w:styleId="34">
    <w:name w:val="Header Char"/>
    <w:basedOn w:val="4"/>
    <w:link w:val="17"/>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uiPriority w:val="99"/>
    <w:rPr>
      <w:b/>
      <w:bCs/>
      <w:sz w:val="20"/>
      <w:szCs w:val="20"/>
    </w:rPr>
  </w:style>
  <w:style w:type="character" w:styleId="49">
    <w:name w:val="Placeholder Text"/>
    <w:basedOn w:val="4"/>
    <w:semiHidden/>
    <w:uiPriority w:val="99"/>
    <w:rPr>
      <w:color w:val="808080"/>
    </w:rPr>
  </w:style>
  <w:style w:type="character" w:customStyle="1" w:styleId="50">
    <w:name w:val="Endnote Text Char"/>
    <w:basedOn w:val="4"/>
    <w:link w:val="11"/>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uiPriority w:val="99"/>
    <w:rPr>
      <w:color w:val="605E5C"/>
      <w:shd w:val="clear" w:color="auto" w:fill="E1DFDD"/>
    </w:rPr>
  </w:style>
  <w:style w:type="character" w:customStyle="1" w:styleId="54">
    <w:name w:val="hidden-sm"/>
    <w:basedOn w:val="4"/>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811043"/>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215528</Words>
  <Characters>1228516</Characters>
  <Lines>10237</Lines>
  <Paragraphs>2882</Paragraphs>
  <TotalTime>104</TotalTime>
  <ScaleCrop>false</ScaleCrop>
  <LinksUpToDate>false</LinksUpToDate>
  <CharactersWithSpaces>1441162</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2021-10-17T21:54:00Z</dcterms:created>
  <dc:creator>Fanning, Stephen B (JMD)</dc:creator>
  <cp:lastModifiedBy>origi</cp:lastModifiedBy>
  <cp:lastPrinted>2020-04-16T14:23:00Z</cp:lastPrinted>
  <dcterms:modified xsi:type="dcterms:W3CDTF">2022-09-19T16:39:05Z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2C4FAB82AC9F40C68540C6CDCE33BA4E</vt:lpwstr>
  </property>
</Properties>
</file>