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t xml:space="preserve">Target 1.b: Create sound policy frameworks at the national, regional and international levels, based on pro-poor and gender-sensitive development strategies, to support accelerated investment in poverty eradication action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t>Indicator 1.b.1: Pro-poor public social spending</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t>UNICEF, Save the Children</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pPr>
              <w:shd w:val="clear" w:color="auto" w:fill="FFFFFF"/>
              <w:spacing w:after="0"/>
              <w:rPr>
                <w:rFonts w:eastAsiaTheme="minorEastAsia"/>
                <w:color w:val="4A4A4A"/>
                <w:sz w:val="21"/>
                <w:szCs w:val="21"/>
                <w:lang w:eastAsia="en-GB"/>
              </w:rPr>
            </w:pPr>
            <w:r>
              <w:rPr>
                <w:color w:val="4A4A4A"/>
                <w:sz w:val="21"/>
                <w:szCs w:val="21"/>
                <w:u w:val="single"/>
                <w:lang w:eastAsia="en-GB"/>
              </w:rPr>
              <w:t>Proportion of public spending:</w:t>
            </w:r>
            <w:r>
              <w:rPr>
                <w:color w:val="4A4A4A"/>
                <w:sz w:val="21"/>
                <w:szCs w:val="21"/>
                <w:lang w:eastAsia="en-GB"/>
              </w:rPr>
              <w:t xml:space="preserve"> Expenditures by governments on health, education and direct transfers (</w:t>
            </w:r>
            <w:r>
              <w:rPr>
                <w:rFonts w:eastAsia="Times New Roman" w:cs="Times New Roman"/>
                <w:color w:val="4A4A4A"/>
                <w:sz w:val="21"/>
                <w:szCs w:val="21"/>
                <w:lang w:eastAsia="en-GB"/>
              </w:rPr>
              <w:t>cash transfers and near-cash transfers</w:t>
            </w:r>
            <w:r>
              <w:rPr>
                <w:color w:val="4A4A4A"/>
                <w:sz w:val="21"/>
                <w:szCs w:val="21"/>
                <w:lang w:eastAsia="en-GB"/>
              </w:rPr>
              <w:t xml:space="preserve">).  </w:t>
            </w:r>
            <w:r>
              <w:rPr>
                <w:rFonts w:hint="default" w:ascii="Times New Roman" w:hAnsi="Times New Roman" w:eastAsia="SimSun" w:cs="Times New Roman"/>
                <w:i w:val="0"/>
                <w:iCs w:val="0"/>
                <w:caps w:val="0"/>
                <w:color w:val="000000"/>
                <w:spacing w:val="0"/>
                <w:sz w:val="27"/>
                <w:szCs w:val="27"/>
              </w:rPr>
              <w:t>The poor: Monetary Poverty as determined by national definition of income/consumption poverty (consistent with SDG 1.2.1).</w:t>
            </w:r>
          </w:p>
          <w:p>
            <w:pPr>
              <w:shd w:val="clear" w:color="auto" w:fill="FFFFFF"/>
              <w:spacing w:after="0"/>
              <w:rPr>
                <w:rFonts w:eastAsia="Times New Roman" w:cs="Times New Roman"/>
                <w:color w:val="4A4A4A"/>
                <w:sz w:val="21"/>
                <w:szCs w:val="21"/>
                <w:lang w:eastAsia="en-GB"/>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pStyle w:val="7"/>
              <w:spacing w:after="0"/>
              <w:rPr>
                <w:rFonts w:ascii="Sitka Subheading" w:hAnsi="Sitka Subheading" w:eastAsia="Times New Roman" w:cs="Arial"/>
                <w:color w:val="auto"/>
                <w:sz w:val="20"/>
                <w:szCs w:val="20"/>
                <w:lang w:val="en-GB" w:eastAsia="en-GB"/>
              </w:rPr>
            </w:pPr>
            <w:r>
              <w:rPr>
                <w:rFonts w:ascii="Sitka Subheading" w:hAnsi="Sitka Subheading" w:eastAsia="Times New Roman" w:cs="Arial"/>
                <w:color w:val="auto"/>
                <w:sz w:val="20"/>
                <w:szCs w:val="20"/>
                <w:lang w:val="en-GB" w:eastAsia="en-GB"/>
              </w:rPr>
              <w:t>National Budget and performance report of MoH, MoE, 2016 to 2018</w:t>
            </w:r>
          </w:p>
          <w:p>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Energy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 </w:t>
            </w:r>
          </w:p>
          <w:p>
            <w:r>
              <w:rPr>
                <w:rFonts w:eastAsia="Times New Roman" w:cs="Times New Roman"/>
                <w:color w:val="4A4A4A"/>
                <w:sz w:val="21"/>
                <w:szCs w:val="21"/>
                <w:lang w:eastAsia="en-GB"/>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Feasibility: The indicator can be estimated for any country for which (a) a micro-data set detailing incomes or expenditures and services utilization (i.e. education, health, and cash transfers receipts) at the individual or household level exists and (b) a set of fiscal, administrative, or budgetary records detailing public expenditures at the program level is available.</w:t>
            </w:r>
          </w:p>
          <w:p>
            <w:pPr>
              <w:shd w:val="clear" w:color="auto" w:fill="FFFFFF"/>
              <w:spacing w:after="0"/>
              <w:rPr>
                <w:rFonts w:eastAsia="Times New Roman" w:cs="Times New Roman"/>
                <w:color w:val="4A4A4A"/>
                <w:sz w:val="21"/>
                <w:szCs w:val="21"/>
                <w:lang w:eastAsia="en-GB"/>
              </w:rPr>
            </w:pP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Suitability/relevance: The indicator provides an estimate how well public resources are allocated to sectors which disproportionally benefit the poor. This reflects the financial consequences of policy frameworks, which are based on pro-poor development strategies, which allows to measure progress on the SDG target 1.b.</w:t>
            </w:r>
          </w:p>
          <w:p>
            <w:pPr>
              <w:shd w:val="clear" w:color="auto" w:fill="FFFFFF"/>
              <w:spacing w:after="0"/>
              <w:rPr>
                <w:rFonts w:eastAsia="Times New Roman" w:cs="Times New Roman"/>
                <w:color w:val="4A4A4A"/>
                <w:sz w:val="21"/>
                <w:szCs w:val="21"/>
                <w:lang w:eastAsia="en-GB"/>
              </w:rPr>
            </w:pP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Relationship with other SDGs: The indicator could be compared with the one under SDG 10 on equity of fiscal policy. Countries should be encouraged to collect and analyse the data within a single process to create synergy and avoid unnecessary duplication.</w:t>
            </w:r>
          </w:p>
          <w:p>
            <w:pPr>
              <w:shd w:val="clear" w:color="auto" w:fill="FFFFFF"/>
              <w:spacing w:after="0"/>
              <w:rPr>
                <w:rFonts w:eastAsia="Times New Roman" w:cs="Times New Roman"/>
                <w:color w:val="4A4A4A"/>
                <w:sz w:val="21"/>
                <w:szCs w:val="21"/>
                <w:lang w:eastAsia="en-GB"/>
              </w:rPr>
            </w:pP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Limitations: The indicator does not take into effect the consequences of revenue-related fiscal activities, such as taxes or contributions to public insurance systems, on the poor. </w:t>
            </w:r>
            <w:r>
              <w:rPr>
                <w:color w:val="4A4A4A"/>
                <w:sz w:val="21"/>
                <w:szCs w:val="21"/>
                <w:lang w:eastAsia="en-GB"/>
              </w:rPr>
              <w:t xml:space="preserve">The proposed methodology does not currently expand to other groups, such as women or children. </w:t>
            </w:r>
          </w:p>
          <w:p>
            <w:pPr>
              <w:shd w:val="clear" w:color="auto" w:fill="FFFFFF"/>
              <w:spacing w:after="0"/>
              <w:rPr>
                <w:rFonts w:eastAsia="Times New Roman" w:cs="Times New Roman"/>
                <w:color w:val="4A4A4A"/>
                <w:sz w:val="21"/>
                <w:szCs w:val="21"/>
                <w:lang w:eastAsia="en-GB"/>
              </w:rPr>
            </w:pPr>
          </w:p>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bookmarkStart w:id="38" w:name="_GoBack"/>
      <w:bookmarkEnd w:id="38"/>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864024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uiPriority w:val="99"/>
    <w:rPr>
      <w:sz w:val="16"/>
      <w:szCs w:val="16"/>
    </w:rPr>
  </w:style>
  <w:style w:type="paragraph" w:styleId="9">
    <w:name w:val="annotation text"/>
    <w:basedOn w:val="1"/>
    <w:link w:val="47"/>
    <w:semiHidden/>
    <w:unhideWhenUsed/>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uiPriority w:val="99"/>
    <w:rPr>
      <w:color w:val="954F72" w:themeColor="followedHyperlink"/>
      <w:u w:val="single"/>
      <w14:textFill>
        <w14:solidFill>
          <w14:schemeClr w14:val="folHlink"/>
        </w14:solidFill>
      </w14:textFill>
    </w:rPr>
  </w:style>
  <w:style w:type="paragraph" w:styleId="14">
    <w:name w:val="footer"/>
    <w:basedOn w:val="1"/>
    <w:link w:val="45"/>
    <w:unhideWhenUsed/>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uiPriority w:val="99"/>
    <w:pPr>
      <w:spacing w:line="240" w:lineRule="exact"/>
      <w:jc w:val="both"/>
    </w:pPr>
    <w:rPr>
      <w:vertAlign w:val="superscript"/>
    </w:rPr>
  </w:style>
  <w:style w:type="paragraph" w:styleId="17">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8"/>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4"/>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2"/>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Caption Char"/>
    <w:basedOn w:val="4"/>
    <w:link w:val="7"/>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28</TotalTime>
  <ScaleCrop>false</ScaleCrop>
  <LinksUpToDate>false</LinksUpToDate>
  <CharactersWithSpaces>1443494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origi</cp:lastModifiedBy>
  <cp:lastPrinted>2020-04-16T14:23:00Z</cp:lastPrinted>
  <dcterms:modified xsi:type="dcterms:W3CDTF">2022-09-19T18:36:54Z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8CD4785DCB8F436FA0FEC9F676D7D2E1</vt:lpwstr>
  </property>
</Properties>
</file>