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sz w:val="22"/>
                <w:szCs w:val="22"/>
              </w:rPr>
            </w:pPr>
            <w:r>
              <w:fldChar w:fldCharType="begin"/>
            </w:r>
            <w:r>
              <w:instrText xml:space="preserve"> HYPERLINK "https://sustainabledevelopment-ghana.github.io/zero-hunger" </w:instrText>
            </w:r>
            <w:r>
              <w:fldChar w:fldCharType="separate"/>
            </w:r>
            <w:r>
              <w:rPr>
                <w:rStyle w:val="54"/>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End hunger, achieve food security and improved nutrition and promote sustainable agriculture.</w:t>
            </w:r>
            <w:r>
              <w:rPr>
                <w:rStyle w:val="18"/>
                <w:rFonts w:asciiTheme="minorHAnsi" w:hAnsiTheme="minorHAnsi" w:cstheme="minorHAnsi"/>
                <w:sz w:val="22"/>
                <w:szCs w:val="22"/>
                <w:u w:val="none"/>
              </w:rPr>
              <w:t xml:space="preserve"> </w:t>
            </w:r>
            <w:r>
              <w:rPr>
                <w:rStyle w:val="18"/>
                <w:rFonts w:asciiTheme="minorHAnsi" w:hAnsiTheme="minorHAnsi" w:cstheme="minorHAnsi"/>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t>Target 2.1: By 2030, end hunger and ensure access by all people, in particular the poor and people in vulnerable situations, including infants, to safe, nutritious and sufficient food all year round.</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2.1.2: Prevalence of moderate or severe food insecurity in the population, based on the Food Insecurity Experience Scale (FIES).</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t>Food and Agriculture Organisation of the United Nations (FAO)</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pPr>
            <w:r>
              <w:t>Definition:</w:t>
            </w:r>
          </w:p>
          <w:p>
            <w:pPr>
              <w:pStyle w:val="35"/>
            </w:pPr>
            <w:r>
              <w:t>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application of the Food Insecurity Experience Scale in more than 140 countries worldwide, starting in 2014.</w:t>
            </w:r>
          </w:p>
          <w:p>
            <w:pPr>
              <w:pStyle w:val="35"/>
            </w:pPr>
          </w:p>
          <w:p>
            <w:pPr>
              <w:pStyle w:val="35"/>
            </w:pPr>
            <w:r>
              <w:t>Concepts:</w:t>
            </w:r>
          </w:p>
          <w:p>
            <w:pPr>
              <w:pStyle w:val="35"/>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ascii="Sitka Subheading" w:hAnsi="Sitka Subheading"/>
                <w:sz w:val="20"/>
                <w:szCs w:val="20"/>
              </w:rPr>
              <w:t>Computed from GLSS Round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Short questionnaires like the FIES are very easy to administer at limited cost, which is one of the main advantages of their use. The ability to precisely determine the food insecurity status of specific individuals or households, however, is limited by the small number of questions, a reason why assignment of individual respondents to food insecurity classes is best done in probability terms, thus ensuring that estimates of prevalence rates in a population are sufficiently reliable even when based on relatively small sample sizes.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As with any statistical assessment, reliability and precision crucially depend on the quality of the survey design and implementation. One major advantage of the analytic treatment of the data through the Rasch model-based methods is that it permits testing the quality of the data collected and evaluating the likely margin of uncertainty around estimated prevalence rates, which should always be reported.</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7030386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52</TotalTime>
  <ScaleCrop>false</ScaleCrop>
  <LinksUpToDate>false</LinksUpToDate>
  <CharactersWithSpaces>1442280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origi</cp:lastModifiedBy>
  <cp:lastPrinted>2020-04-16T14:23:00Z</cp:lastPrinted>
  <dcterms:modified xsi:type="dcterms:W3CDTF">2022-09-19T18:59:09Z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0C6E9B683E064245AACDA9867635EF6D</vt:lpwstr>
  </property>
</Properties>
</file>