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2.a.2 Total official flows (disbursements) for agriculture, by recipient countries [2.a.2] (DC_TOF_AGRL)</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Foreign direct investment (FDI) is an investment in a business by an investor from another country for which the foreign investor has control over the business concerned. It is distinguished from foreign portfolio investment by the notion of direct control.</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"https://sustainabledevelopment-ghana.github.io/zero-hunger" </w:instrText>
            </w:r>
            <w:r>
              <w:fldChar w:fldCharType="separate"/>
            </w:r>
            <w:r>
              <w:rPr>
                <w:rStyle w:val="53"/>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End hunger, achieve food security and improved nutrition and promote sustainable agriculture</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2.a.2: Total official flows (official development assistance plus other official flows) to the agriculture sector</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Organisation for Economic Co-operation and Development (OECD)</w:t>
            </w:r>
          </w:p>
          <w:p>
            <w:pPr>
              <w:shd w:val="clear" w:color="auto" w:fill="FFFFFF"/>
              <w:spacing w:after="0"/>
              <w:rPr>
                <w:rFonts w:eastAsia="Times New Roman" w:cs="Times New Roman"/>
                <w:color w:val="4A4A4A"/>
                <w:sz w:val="21"/>
                <w:szCs w:val="21"/>
                <w:lang w:eastAsia="en-GB"/>
              </w:rPr>
            </w:pP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Percentage of total Foreign Direct Investment that flows into agriculture sector refers to the proportion of total private capital flows from abroad/overseas that goes into the agricultural sector per anum, where agriculture entails Crops, Livestock, Fishing, Forestry and Logging i.e. it is total foreign direct investment flows into the agricultural sector divided by the total foreign direct investment inflows registered.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ascii="Sitka Subheading" w:hAnsi="Sitka Subheading" w:eastAsia="Arial"/>
                <w:sz w:val="20"/>
                <w:szCs w:val="20"/>
              </w:rPr>
              <w:t>: 2019 GIPC Annual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Total ODA and OOF flows to developing countries quantify the public effort (excluding export credits) that donors provide to developing countries for agriculture.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indicator, Percentage of total Foreign Direct Investment that flows into agriculture sector, is calculated by dividing total agricultural foreign direct investment inflows by the overall total foreign direct investment inflows registered.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bookmarkStart w:id="38" w:name="_GoBack" w:colFirst="1" w:colLast="1"/>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bookmarkEnd w:id="38"/>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B5933C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2057"/>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215610</Words>
  <Characters>1228978</Characters>
  <Lines>10241</Lines>
  <Paragraphs>2883</Paragraphs>
  <TotalTime>17</TotalTime>
  <ScaleCrop>false</ScaleCrop>
  <LinksUpToDate>false</LinksUpToDate>
  <CharactersWithSpaces>1441705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2021-10-18T11:20:00Z</dcterms:created>
  <dc:creator>Fanning, Stephen B (JMD)</dc:creator>
  <cp:lastModifiedBy>origi</cp:lastModifiedBy>
  <cp:lastPrinted>2020-04-16T14:23:00Z</cp:lastPrinted>
  <dcterms:modified xsi:type="dcterms:W3CDTF">2022-09-20T08:08:05Z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17C8F400C18A4B6491C2481AA395404D</vt:lpwstr>
  </property>
</Properties>
</file>