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rPr>
                <w:rStyle w:val="55"/>
                <w:rFonts w:ascii="Calibri" w:hAnsi="Calibri" w:cs="Calibri"/>
                <w:color w:val="333333"/>
                <w:sz w:val="21"/>
                <w:szCs w:val="21"/>
              </w:rPr>
            </w:pPr>
            <w:r>
              <w:rPr>
                <w:rStyle w:val="54"/>
                <w:rFonts w:ascii="Calibri" w:hAnsi="Calibri" w:cs="Calibri"/>
                <w:color w:val="333333"/>
                <w:sz w:val="21"/>
                <w:szCs w:val="21"/>
              </w:rPr>
              <w:t>Goal 3: Ensure healthy lives and promote well-being for all at all ages.</w:t>
            </w:r>
            <w:r>
              <w:rPr>
                <w:rStyle w:val="55"/>
                <w:rFonts w:ascii="Calibri" w:hAnsi="Calibri" w:cs="Calibri"/>
                <w:color w:val="333333"/>
                <w:sz w:val="21"/>
                <w:szCs w:val="21"/>
              </w:rPr>
              <w:t> </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rPr>
                <w:rStyle w:val="55"/>
                <w:rFonts w:ascii="Calibri" w:hAnsi="Calibri" w:cs="Calibri"/>
                <w:color w:val="333333"/>
                <w:sz w:val="21"/>
                <w:szCs w:val="21"/>
              </w:rPr>
            </w:pPr>
            <w:r>
              <w:rPr>
                <w:rStyle w:val="54"/>
                <w:rFonts w:ascii="Calibri" w:hAnsi="Calibri" w:cs="Calibri"/>
                <w:color w:val="333333"/>
                <w:sz w:val="21"/>
                <w:szCs w:val="21"/>
              </w:rPr>
              <w:t>Target 3.7: By 2030, ensure universal access to sexual and reproductive health-care services, including for family planning, information and education, and the integration of reproductive health into national strategies and programmes</w:t>
            </w:r>
            <w:r>
              <w:rPr>
                <w:rStyle w:val="55"/>
                <w:rFonts w:ascii="Calibri" w:hAnsi="Calibri" w:cs="Calibri"/>
                <w:color w:val="333333"/>
                <w:sz w:val="21"/>
                <w:szCs w:val="21"/>
              </w:rPr>
              <w:t>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rPr>
                <w:color w:val="333333"/>
                <w:sz w:val="21"/>
                <w:szCs w:val="21"/>
              </w:rPr>
            </w:pPr>
            <w:r>
              <w:rPr>
                <w:color w:val="333333"/>
                <w:sz w:val="21"/>
                <w:szCs w:val="21"/>
              </w:rPr>
              <w:t xml:space="preserve">Indicator 3.7.1: Proportion of women of reproductive age (aged 15-49 years) who have their need for family planning satisfied with modern methods </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18"/>
                <w:szCs w:val="18"/>
                <w:lang w:val="en-US"/>
              </w:rPr>
            </w:pPr>
            <w:r>
              <w:t>This indicator is linked to Target 3.8 (Achieve universal health coverage, including financial risk protection, access to quality essential health-care services and access to safe, effective, quality and affordable essential medicines and vaccines for all) because the provision of family planning information and methods to all individuals who want to prevent pregnancy is an important component of achieving universal health coverage.  </w:t>
            </w:r>
            <w:r>
              <w:rPr>
                <w:lang w:val="en-US"/>
              </w:rPr>
              <w:t> </w:t>
            </w:r>
          </w:p>
          <w:p>
            <w:pPr>
              <w:pStyle w:val="30"/>
              <w:rPr>
                <w:lang w:val="en-US"/>
              </w:rPr>
            </w:pPr>
            <w:r>
              <w:t>This indicator is also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meeting the demand for family planning is facilitated by increasing access to sexual and reproductive health-care services, and also  improves sexual and reproductive health and the ability to exercise reproductive rights. </w:t>
            </w:r>
            <w:r>
              <w:rPr>
                <w:lang w:val="en-US"/>
              </w:rPr>
              <w:t>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18"/>
                <w:szCs w:val="18"/>
              </w:rPr>
            </w:pPr>
            <w:bookmarkStart w:id="8" w:name="_Hlk58263184"/>
            <w:r>
              <w:rPr>
                <w:rStyle w:val="54"/>
                <w:rFonts w:ascii="Calibri" w:hAnsi="Calibri" w:cs="Calibri"/>
                <w:color w:val="4A4A4A"/>
              </w:rPr>
              <w:t>Population Division, Department of Economic and Social Affairs (DESA)</w:t>
            </w:r>
            <w:r>
              <w:rPr>
                <w:rStyle w:val="55"/>
                <w:rFonts w:ascii="Calibri" w:hAnsi="Calibri" w:cs="Calibri"/>
                <w:color w:val="4A4A4A"/>
              </w:rPr>
              <w:t> </w:t>
            </w:r>
          </w:p>
          <w:p>
            <w:pPr>
              <w:pStyle w:val="30"/>
              <w:rPr>
                <w:rFonts w:ascii="Segoe UI" w:hAnsi="Segoe UI" w:cs="Segoe UI"/>
                <w:sz w:val="18"/>
                <w:szCs w:val="18"/>
              </w:rPr>
            </w:pPr>
            <w:r>
              <w:rPr>
                <w:rStyle w:val="54"/>
                <w:rFonts w:ascii="Calibri" w:hAnsi="Calibri" w:cs="Calibri"/>
                <w:color w:val="4A4A4A"/>
              </w:rPr>
              <w:t>United Nations Population</w:t>
            </w:r>
            <w:r>
              <w:rPr>
                <w:rStyle w:val="54"/>
                <w:rFonts w:ascii="Arial" w:hAnsi="Arial" w:cs="Arial"/>
                <w:color w:val="4A4A4A"/>
              </w:rPr>
              <w:t> </w:t>
            </w:r>
            <w:r>
              <w:rPr>
                <w:rStyle w:val="54"/>
                <w:rFonts w:ascii="Calibri" w:hAnsi="Calibri" w:cs="Calibri"/>
                <w:color w:val="4A4A4A"/>
              </w:rPr>
              <w:t>Fund (UNFPA)</w:t>
            </w:r>
            <w:r>
              <w:rPr>
                <w:rStyle w:val="55"/>
                <w:rFonts w:ascii="Calibri" w:hAnsi="Calibri" w:cs="Calibri"/>
                <w:color w:val="4A4A4A"/>
              </w:rPr>
              <w:t> </w:t>
            </w:r>
            <w:bookmarkEnd w:id="8"/>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572"/>
            <w:bookmarkStart w:id="10" w:name="_Toc37932744"/>
            <w:bookmarkStart w:id="11" w:name="_Toc36655609"/>
            <w:bookmarkStart w:id="12" w:name="_Toc36813072"/>
            <w:bookmarkStart w:id="13" w:name="_Toc36812685"/>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7932745"/>
            <w:bookmarkStart w:id="15" w:name="_Toc36813073"/>
            <w:bookmarkStart w:id="16" w:name="_Toc36812573"/>
            <w:bookmarkStart w:id="17" w:name="_Toc36655610"/>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b/>
                <w:bCs/>
                <w:color w:val="4A4A4A"/>
                <w:sz w:val="21"/>
                <w:szCs w:val="21"/>
                <w:lang w:val="en-GB"/>
              </w:rPr>
              <w:t>Definition:</w:t>
            </w:r>
            <w:r>
              <w:rPr>
                <w:rStyle w:val="55"/>
                <w:rFonts w:ascii="Calibri" w:hAnsi="Calibri" w:cs="Calibri"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The percentage of women of reproductive age (15-49 years) currently using a modern method of contraception among those who desire either to have no (additional) children or to postpone the next pregnancy</w:t>
            </w:r>
            <w:r>
              <w:rPr>
                <w:rStyle w:val="54"/>
                <w:rFonts w:ascii="Arial" w:hAnsi="Arial" w:cs="Arial"/>
                <w:color w:val="4A4A4A"/>
                <w:sz w:val="21"/>
                <w:szCs w:val="21"/>
                <w:lang w:val="en-GB"/>
              </w:rPr>
              <w:t>.</w:t>
            </w:r>
            <w:r>
              <w:rPr>
                <w:rStyle w:val="54"/>
                <w:rFonts w:ascii="Calibri" w:hAnsi="Calibri" w:cs="Calibri"/>
                <w:color w:val="4A4A4A"/>
                <w:sz w:val="21"/>
                <w:szCs w:val="21"/>
                <w:lang w:val="en-GB"/>
              </w:rPr>
              <w:t> The indicator is also referred to as the demand for family planning satisfied with modern methods</w:t>
            </w:r>
            <w:r>
              <w:rPr>
                <w:rStyle w:val="54"/>
                <w:rFonts w:ascii="Arial" w:hAnsi="Arial" w:cs="Arial"/>
                <w:color w:val="4A4A4A"/>
                <w:sz w:val="21"/>
                <w:szCs w:val="21"/>
                <w:lang w:val="en-GB"/>
              </w:rPr>
              <w:t>.</w:t>
            </w:r>
            <w:r>
              <w:rPr>
                <w:rStyle w:val="55"/>
                <w:rFonts w:ascii="Arial" w:hAnsi="Arial" w:cs="Arial"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rFonts w:ascii="Arial" w:hAnsi="Arial" w:cs="Arial" w:eastAsiaTheme="minorEastAsia"/>
                <w:color w:val="4A4A4A"/>
                <w:sz w:val="21"/>
                <w:szCs w:val="21"/>
              </w:rPr>
              <w:t> </w:t>
            </w:r>
          </w:p>
          <w:p>
            <w:pPr>
              <w:pStyle w:val="35"/>
              <w:rPr>
                <w:highlight w:val="cyan"/>
              </w:rPr>
            </w:pP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b/>
                <w:bCs/>
                <w:color w:val="4A4A4A"/>
                <w:sz w:val="21"/>
                <w:szCs w:val="21"/>
                <w:lang w:val="en-GB"/>
              </w:rPr>
              <w:t>Concepts:</w:t>
            </w:r>
            <w:r>
              <w:rPr>
                <w:rStyle w:val="55"/>
                <w:rFonts w:ascii="Calibri" w:hAnsi="Calibri" w:cs="Calibri"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54"/>
                <w:rFonts w:ascii="Arial" w:hAnsi="Arial" w:cs="Arial"/>
                <w:color w:val="4A4A4A"/>
                <w:sz w:val="21"/>
                <w:szCs w:val="21"/>
                <w:lang w:val="en-GB"/>
              </w:rPr>
              <w:t> </w:t>
            </w:r>
            <w:r>
              <w:rPr>
                <w:rStyle w:val="55"/>
                <w:rFonts w:ascii="Arial" w:hAnsi="Arial" w:cs="Arial"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rFonts w:ascii="Arial" w:hAnsi="Arial" w:cs="Arial"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Contraceptive prevalence is the percentage of women who are currently using, or whose partner is currently using, at least one method of contraception, regardless of the method used. </w:t>
            </w:r>
            <w:r>
              <w:rPr>
                <w:rStyle w:val="55"/>
                <w:rFonts w:ascii="Calibri" w:hAnsi="Calibri" w:cs="Calibri"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rFonts w:ascii="Arial" w:hAnsi="Arial" w:cs="Arial"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r>
              <w:rPr>
                <w:rStyle w:val="55"/>
                <w:rFonts w:ascii="Calibri" w:hAnsi="Calibri" w:cs="Calibri"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rFonts w:ascii="Arial" w:hAnsi="Arial" w:cs="Arial" w:eastAsiaTheme="minorEastAsia"/>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Unmet need for family planning is defined as the percentage of women of reproductive age who want to stop or delay childbearing but are not using any method of contraception.</w:t>
            </w:r>
            <w:r>
              <w:rPr>
                <w:rStyle w:val="54"/>
                <w:rFonts w:ascii="Arial" w:hAnsi="Arial" w:cs="Arial"/>
                <w:color w:val="4A4A4A"/>
                <w:sz w:val="21"/>
                <w:szCs w:val="21"/>
                <w:lang w:val="en-GB"/>
              </w:rPr>
              <w:t> </w:t>
            </w:r>
            <w:r>
              <w:rPr>
                <w:rStyle w:val="54"/>
                <w:rFonts w:ascii="Calibri" w:hAnsi="Calibri" w:cs="Calibri"/>
                <w:color w:val="4A4A4A"/>
                <w:sz w:val="21"/>
                <w:szCs w:val="21"/>
                <w:lang w:val="en-GB"/>
              </w:rPr>
              <w:t>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 pregnant women whose pregnancies were unwanted or mistimed at the time of conception; and</w:t>
            </w:r>
            <w:r>
              <w:rPr>
                <w:rStyle w:val="55"/>
                <w:rFonts w:ascii="Calibri" w:hAnsi="Calibri" w:cs="Calibri" w:eastAsiaTheme="minorEastAsia"/>
                <w:color w:val="4A4A4A"/>
                <w:sz w:val="21"/>
                <w:szCs w:val="21"/>
              </w:rPr>
              <w:t> </w:t>
            </w:r>
            <w:r>
              <w:rPr>
                <w:rStyle w:val="54"/>
                <w:rFonts w:ascii="Calibri" w:hAnsi="Calibri" w:cs="Calibri"/>
                <w:color w:val="4A4A4A"/>
                <w:sz w:val="21"/>
                <w:szCs w:val="21"/>
                <w:lang w:val="en-GB"/>
              </w:rPr>
              <w:t>postpartum amenorrhoeic women who are not using family planning and whose last birth</w:t>
            </w:r>
            <w:bookmarkStart w:id="39" w:name="_GoBack"/>
            <w:bookmarkEnd w:id="39"/>
            <w:r>
              <w:rPr>
                <w:rStyle w:val="54"/>
                <w:rFonts w:ascii="Calibri" w:hAnsi="Calibri" w:cs="Calibri"/>
                <w:color w:val="4A4A4A"/>
                <w:sz w:val="21"/>
                <w:szCs w:val="21"/>
                <w:lang w:val="en-GB"/>
              </w:rPr>
              <w:t xml:space="preserve"> was unwanted or mistimed.</w:t>
            </w:r>
            <w:r>
              <w:rPr>
                <w:rStyle w:val="54"/>
                <w:rFonts w:ascii="Arial" w:hAnsi="Arial" w:cs="Arial"/>
                <w:color w:val="4A4A4A"/>
                <w:sz w:val="21"/>
                <w:szCs w:val="21"/>
                <w:lang w:val="en-GB"/>
              </w:rPr>
              <w:t> </w:t>
            </w:r>
            <w:r>
              <w:rPr>
                <w:rStyle w:val="54"/>
                <w:rFonts w:ascii="Calibri" w:hAnsi="Calibri" w:cs="Calibri"/>
                <w:color w:val="4A4A4A"/>
                <w:sz w:val="21"/>
                <w:szCs w:val="21"/>
                <w:lang w:val="en-GB"/>
              </w:rPr>
              <w:t xml:space="preserve">Further information on the operational definition of the unmet need for family planning, as well as survey questions and statistical programs needed to derive the indicator, can be found at the following website of the USAID Demographic and Health Surveys Program: </w:t>
            </w:r>
            <w:r>
              <w:fldChar w:fldCharType="begin"/>
            </w:r>
            <w:r>
              <w:instrText xml:space="preserve"> HYPERLINK "http://measuredhs.com/Topics/Unmet-Need.cfm" </w:instrText>
            </w:r>
            <w:r>
              <w:fldChar w:fldCharType="separate"/>
            </w:r>
            <w:r>
              <w:rPr>
                <w:rStyle w:val="18"/>
                <w:rFonts w:ascii="Calibri" w:hAnsi="Calibri" w:cs="Calibri" w:eastAsiaTheme="majorEastAsia"/>
                <w:sz w:val="21"/>
                <w:szCs w:val="21"/>
                <w:lang w:val="en-GB"/>
              </w:rPr>
              <w:t>http://measuredhs.com/Topics/Unmet-Need.cfm</w:t>
            </w:r>
            <w:r>
              <w:rPr>
                <w:rStyle w:val="18"/>
                <w:rFonts w:ascii="Calibri" w:hAnsi="Calibri" w:cs="Calibri" w:eastAsiaTheme="majorEastAsia"/>
                <w:sz w:val="21"/>
                <w:szCs w:val="21"/>
                <w:lang w:val="en-GB"/>
              </w:rPr>
              <w:fldChar w:fldCharType="end"/>
            </w:r>
            <w:r>
              <w:rPr>
                <w:rStyle w:val="54"/>
                <w:rFonts w:ascii="Calibri" w:hAnsi="Calibri" w:cs="Calibri"/>
                <w:color w:val="4A4A4A"/>
                <w:sz w:val="21"/>
                <w:szCs w:val="21"/>
                <w:lang w:val="en-GB"/>
              </w:rPr>
              <w:t xml:space="preserve"> .</w:t>
            </w:r>
            <w:r>
              <w:rPr>
                <w:rStyle w:val="55"/>
                <w:rFonts w:ascii="Calibri" w:hAnsi="Calibri" w:cs="Calibri" w:eastAsiaTheme="minorEastAsia"/>
                <w:color w:val="4A4A4A"/>
                <w:sz w:val="21"/>
                <w:szCs w:val="21"/>
              </w:rPr>
              <w:t> </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GSS, GDHS Various Editions, MICS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3075"/>
            <w:bookmarkStart w:id="22" w:name="_Toc37932747"/>
            <w:bookmarkStart w:id="23" w:name="_Toc36655612"/>
            <w:bookmarkStart w:id="24" w:name="_Toc36812688"/>
            <w:bookmarkStart w:id="25" w:name="_Toc368125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proportion of demand for family planning satisfied with modern methods is useful in assessing overall levels of coverage for family planning programmes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Levels of demand for family planning satisfied with modern methods of 75 percent or more are generally considered high, and values of 50 percent or less are generally considered as very low. The indicator has no global numerical ‘target’ value set to be achieved by 2030. Looking at the highest values of the indicator, in 22 countries representing regions such as Europe and Northern America, Latin America and the Caribbean and Eastern and South-Eastern Asia, more than 85 percent of women who want to avoid pregnancy are using a modern contraceptive method but for no country is this estimate above 91 percent.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Even in these countries, specific sub-populations (for example, adolescents or the poor) can still face barriers of access to family planning information and services. It should also be recognized that reaching 100 percent may not be a necessary or even desirable outcome with respect to reproductive rights. Some women may prefer to use a traditional method, even while having access to a full range of modern methods and being aware of the typical differences in effectiveness of methods in preventing pregnancies. Other women might have ambivalent preferences regarding their next pregnancy which may influence their contraceptive choice.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2689"/>
            <w:bookmarkStart w:id="29" w:name="_Toc37932748"/>
            <w:bookmarkStart w:id="30" w:name="_Toc368130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18"/>
                <w:szCs w:val="18"/>
              </w:rPr>
            </w:pPr>
            <w:r>
              <w:fldChar w:fldCharType="begin"/>
            </w:r>
            <w:r>
              <w:instrText xml:space="preserve"> HYPERLINK "http://measuredhs.com/Topics/Unmet-Need.cfm" </w:instrText>
            </w:r>
            <w:r>
              <w:fldChar w:fldCharType="separate"/>
            </w:r>
            <w:r>
              <w:rPr>
                <w:rStyle w:val="18"/>
                <w:rFonts w:ascii="Calibri" w:hAnsi="Calibri" w:cs="Calibri" w:eastAsiaTheme="majorEastAsia"/>
                <w:sz w:val="21"/>
                <w:szCs w:val="21"/>
                <w:lang w:val="en-GB"/>
              </w:rPr>
              <w:t>http://measuredhs.com/Topics/Unmet-Need.cfm</w:t>
            </w:r>
            <w:r>
              <w:rPr>
                <w:rStyle w:val="18"/>
                <w:rFonts w:ascii="Calibri" w:hAnsi="Calibri" w:cs="Calibri" w:eastAsiaTheme="majorEastAsia"/>
                <w:sz w:val="21"/>
                <w:szCs w:val="21"/>
                <w:lang w:val="en-GB"/>
              </w:rPr>
              <w:fldChar w:fldCharType="end"/>
            </w:r>
            <w:r>
              <w:rPr>
                <w:rStyle w:val="54"/>
                <w:rFonts w:ascii="Calibri" w:hAnsi="Calibri" w:cs="Calibri"/>
                <w:color w:val="4A4A4A"/>
                <w:sz w:val="21"/>
                <w:szCs w:val="21"/>
                <w:lang w:val="en-GB"/>
              </w:rPr>
              <w:t xml:space="preserve"> .</w:t>
            </w:r>
            <w:r>
              <w:rPr>
                <w:rStyle w:val="55"/>
                <w:rFonts w:ascii="Calibri" w:hAnsi="Calibri" w:cs="Calibri" w:eastAsiaTheme="minorEastAsia"/>
                <w:color w:val="4A4A4A"/>
                <w:sz w:val="21"/>
                <w:szCs w:val="21"/>
              </w:rPr>
              <w:t> </w:t>
            </w:r>
          </w:p>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0E22"/>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3D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B237A"/>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0D020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normaltextrun"/>
    <w:basedOn w:val="4"/>
    <w:uiPriority w:val="0"/>
  </w:style>
  <w:style w:type="character" w:customStyle="1" w:styleId="55">
    <w:name w:val="eop"/>
    <w:basedOn w:val="4"/>
    <w:uiPriority w:val="0"/>
  </w:style>
  <w:style w:type="paragraph" w:customStyle="1" w:styleId="56">
    <w:name w:val="paragraph"/>
    <w:basedOn w:val="1"/>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74018"/>
    <w:rsid w:val="00BA45F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216025</Words>
  <Characters>1231348</Characters>
  <Lines>10261</Lines>
  <Paragraphs>2888</Paragraphs>
  <TotalTime>452</TotalTime>
  <ScaleCrop>false</ScaleCrop>
  <LinksUpToDate>false</LinksUpToDate>
  <CharactersWithSpaces>1444485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2021-11-02T12:07:00Z</dcterms:created>
  <dc:creator>Fanning, Stephen B (JMD)</dc:creator>
  <cp:lastModifiedBy>origi</cp:lastModifiedBy>
  <cp:lastPrinted>2020-04-16T14:23:00Z</cp:lastPrinted>
  <dcterms:modified xsi:type="dcterms:W3CDTF">2022-09-20T08:34:09Z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BDD28B0422FA4779A9F78441043A0A5C</vt:lpwstr>
  </property>
</Properties>
</file>