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5.3.1 Proportion of women aged 20-24 years who were married or in a union before age 15 [5.3.1] (SP_DYN_MRBF15)</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Percentage of early marriages including consensual union, civil marriages and customary marriages experienced by girls before the age of 15 years and also before age 18.</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"https://sustainabledevelopment-ghana.github.io/gender-equality" </w:instrText>
            </w:r>
            <w:r>
              <w:fldChar w:fldCharType="separate"/>
            </w:r>
            <w:r>
              <w:rPr>
                <w:rStyle w:val="53"/>
                <w:rFonts w:asciiTheme="minorHAnsi" w:hAnsiTheme="minorHAnsi" w:cstheme="minorHAnsi"/>
                <w:color w:val="auto"/>
                <w:sz w:val="22"/>
                <w:szCs w:val="22"/>
              </w:rPr>
              <w:t xml:space="preserve">Goal 5: </w:t>
            </w:r>
            <w:r>
              <w:rPr>
                <w:rStyle w:val="18"/>
                <w:rFonts w:asciiTheme="minorHAnsi" w:hAnsiTheme="minorHAnsi" w:cstheme="minorHAnsi"/>
                <w:color w:val="auto"/>
                <w:sz w:val="22"/>
                <w:szCs w:val="22"/>
                <w:u w:val="none"/>
              </w:rPr>
              <w:t xml:space="preserve">Achieve gender equality and empower all women and girls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5.3: Eliminate all harmful practices, such as child, early and forced marriage and female genital mutilation</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5.3.1: Proportion of women aged 20-24 years who were married or in a union before age 15 and age 18</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tbl>
            <w:tblPr>
              <w:tblStyle w:val="5"/>
              <w:tblW w:w="0" w:type="auto"/>
              <w:tblCellSpacing w:w="15" w:type="dxa"/>
              <w:tblInd w:w="0" w:type="dxa"/>
              <w:tblLayout w:type="fixed"/>
              <w:tblCellMar>
                <w:top w:w="15" w:type="dxa"/>
                <w:left w:w="15" w:type="dxa"/>
                <w:bottom w:w="15" w:type="dxa"/>
                <w:right w:w="15" w:type="dxa"/>
              </w:tblCellMar>
            </w:tblPr>
            <w:tblGrid>
              <w:gridCol w:w="240"/>
              <w:gridCol w:w="1050"/>
            </w:tblGrid>
            <w:tr>
              <w:trPr>
                <w:tblCellSpacing w:w="15" w:type="dxa"/>
              </w:trPr>
              <w:tc>
                <w:tcPr>
                  <w:tcW w:w="195" w:type="dxa"/>
                  <w:vAlign w:val="center"/>
                </w:tcPr>
                <w:p>
                  <w:pPr>
                    <w:spacing w:after="0" w:line="240" w:lineRule="auto"/>
                    <w:rPr>
                      <w:rFonts w:ascii="Times New Roman" w:hAnsi="Times New Roman" w:eastAsia="Times New Roman" w:cs="Times New Roman"/>
                      <w:sz w:val="24"/>
                      <w:szCs w:val="24"/>
                    </w:rPr>
                  </w:pPr>
                </w:p>
              </w:tc>
              <w:tc>
                <w:tcPr>
                  <w:tcW w:w="1005" w:type="dxa"/>
                  <w:vAlign w:val="center"/>
                </w:tcPr>
                <w:p>
                  <w:pPr>
                    <w:spacing w:after="0" w:line="240" w:lineRule="auto"/>
                    <w:rPr>
                      <w:rFonts w:hint="default" w:eastAsia="Times New Roman" w:cstheme="minorHAnsi"/>
                      <w:lang w:val="en-CA"/>
                    </w:rPr>
                  </w:pPr>
                  <w:r>
                    <w:rPr>
                      <w:rFonts w:hint="default" w:eastAsia="Times New Roman" w:cstheme="minorHAnsi"/>
                      <w:lang w:val="en-CA"/>
                    </w:rPr>
                    <w:t>2022-9-13</w:t>
                  </w:r>
                </w:p>
              </w:tc>
            </w:tr>
          </w:tbl>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United Nations Children's Fund (UNICEF)</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Proportion of women aged 20-24 years who were married or in a union before age 15 and before age 18</w:t>
            </w:r>
          </w:p>
          <w:p>
            <w:pPr>
              <w:pStyle w:val="34"/>
            </w:pPr>
          </w:p>
          <w:p>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Both formal (i.e., marriages) and informal unions are covered under this indicator. Informal unions are generally defined as those in which a couple lives together for some time, intends to have a lasting relationship, but for which there has been no formal civil or religious ceremony (i.e., cohabitation).</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eastAsia="Calibri" w:cstheme="minorHAnsi"/>
                <w:bCs/>
                <w:i/>
                <w:iCs/>
                <w:shd w:val="clear" w:color="auto" w:fill="FFFFFF"/>
                <w:lang w:val="en-CA"/>
              </w:rPr>
            </w:pPr>
            <w:r>
              <w:rPr>
                <w:rFonts w:eastAsia="Calibri" w:cstheme="minorHAnsi"/>
                <w:bCs/>
                <w:i/>
                <w:iCs/>
                <w:shd w:val="clear" w:color="auto" w:fill="FFFFFF"/>
              </w:rPr>
              <w:t>2011 and 2018 Ghana M</w:t>
            </w:r>
            <w:r>
              <w:rPr>
                <w:rFonts w:hint="default" w:eastAsia="Calibri" w:cstheme="minorHAnsi"/>
                <w:bCs/>
                <w:i/>
                <w:iCs/>
                <w:shd w:val="clear" w:color="auto" w:fill="FFFFFF"/>
                <w:lang w:val="en-CA"/>
              </w:rPr>
              <w:t xml:space="preserve">ultiple </w:t>
            </w:r>
            <w:r>
              <w:rPr>
                <w:rFonts w:eastAsia="Calibri" w:cstheme="minorHAnsi"/>
                <w:bCs/>
                <w:i/>
                <w:iCs/>
                <w:shd w:val="clear" w:color="auto" w:fill="FFFFFF"/>
              </w:rPr>
              <w:t>I</w:t>
            </w:r>
            <w:r>
              <w:rPr>
                <w:rFonts w:hint="default" w:eastAsia="Calibri" w:cstheme="minorHAnsi"/>
                <w:bCs/>
                <w:i/>
                <w:iCs/>
                <w:shd w:val="clear" w:color="auto" w:fill="FFFFFF"/>
                <w:lang w:val="en-CA"/>
              </w:rPr>
              <w:t xml:space="preserve">ndicator </w:t>
            </w:r>
            <w:r>
              <w:rPr>
                <w:rFonts w:eastAsia="Calibri" w:cstheme="minorHAnsi"/>
                <w:bCs/>
                <w:i/>
                <w:iCs/>
                <w:shd w:val="clear" w:color="auto" w:fill="FFFFFF"/>
              </w:rPr>
              <w:t>C</w:t>
            </w:r>
            <w:r>
              <w:rPr>
                <w:rFonts w:hint="default" w:eastAsia="Calibri" w:cstheme="minorHAnsi"/>
                <w:bCs/>
                <w:i/>
                <w:iCs/>
                <w:shd w:val="clear" w:color="auto" w:fill="FFFFFF"/>
                <w:lang w:val="en-CA"/>
              </w:rPr>
              <w:t xml:space="preserve">luster </w:t>
            </w:r>
            <w:r>
              <w:rPr>
                <w:rFonts w:eastAsia="Calibri" w:cstheme="minorHAnsi"/>
                <w:bCs/>
                <w:i/>
                <w:iCs/>
                <w:shd w:val="clear" w:color="auto" w:fill="FFFFFF"/>
              </w:rPr>
              <w:t>S</w:t>
            </w:r>
            <w:r>
              <w:rPr>
                <w:rFonts w:hint="default" w:eastAsia="Calibri" w:cstheme="minorHAnsi"/>
                <w:bCs/>
                <w:i/>
                <w:iCs/>
                <w:shd w:val="clear" w:color="auto" w:fill="FFFFFF"/>
                <w:lang w:val="en-CA"/>
              </w:rPr>
              <w:t>urvey</w:t>
            </w:r>
            <w:r>
              <w:rPr>
                <w:rFonts w:eastAsia="Calibri" w:cstheme="minorHAnsi"/>
                <w:bCs/>
                <w:i/>
                <w:iCs/>
                <w:shd w:val="clear" w:color="auto" w:fill="FFFFFF"/>
              </w:rPr>
              <w:t xml:space="preserve"> </w:t>
            </w:r>
            <w:r>
              <w:rPr>
                <w:rFonts w:hint="default" w:eastAsia="Calibri" w:cstheme="minorHAnsi"/>
                <w:bCs/>
                <w:i/>
                <w:iCs/>
                <w:shd w:val="clear" w:color="auto" w:fill="FFFFFF"/>
                <w:lang w:val="en-CA"/>
              </w:rPr>
              <w:t>(MICS)</w:t>
            </w:r>
          </w:p>
          <w:p>
            <w:pPr>
              <w:spacing w:after="0" w:line="240" w:lineRule="auto"/>
              <w:jc w:val="both"/>
              <w:rPr>
                <w:rFonts w:eastAsia="Calibri" w:cstheme="minorHAnsi"/>
                <w:b/>
              </w:rPr>
            </w:pP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gender roles associated with womanhood. These include entering a union and becoming a mother. The practice of early/child marriage is 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from harmful traditional practices.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Currently married or in union women 15 years or older who were married before age 15 and also before age 18 divided by currently married or in union women 15 years or older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72B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BD5"/>
    <w:rsid w:val="00EA6E73"/>
    <w:rsid w:val="00EB3760"/>
    <w:rsid w:val="00EC064B"/>
    <w:rsid w:val="00EC6024"/>
    <w:rsid w:val="00EE4BB5"/>
    <w:rsid w:val="00EE79CF"/>
    <w:rsid w:val="00EF453F"/>
    <w:rsid w:val="00F00FDD"/>
    <w:rsid w:val="00F01713"/>
    <w:rsid w:val="00F02B1E"/>
    <w:rsid w:val="00F07040"/>
    <w:rsid w:val="00F2310E"/>
    <w:rsid w:val="00F3278B"/>
    <w:rsid w:val="00F54570"/>
    <w:rsid w:val="00F75853"/>
    <w:rsid w:val="00F7784D"/>
    <w:rsid w:val="00F8144F"/>
    <w:rsid w:val="00F8462A"/>
    <w:rsid w:val="00F862A7"/>
    <w:rsid w:val="00F93763"/>
    <w:rsid w:val="00F939A2"/>
    <w:rsid w:val="00F96E8D"/>
    <w:rsid w:val="00FA20D9"/>
    <w:rsid w:val="00FB03D0"/>
    <w:rsid w:val="00FD54D7"/>
    <w:rsid w:val="00FF642D"/>
    <w:rsid w:val="22251A25"/>
    <w:rsid w:val="42BC05EB"/>
    <w:rsid w:val="58E72DAF"/>
    <w:rsid w:val="59562F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00880"/>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215593</Words>
  <Characters>1228882</Characters>
  <Lines>10240</Lines>
  <Paragraphs>2883</Paragraphs>
  <TotalTime>0</TotalTime>
  <ScaleCrop>false</ScaleCrop>
  <LinksUpToDate>false</LinksUpToDate>
  <CharactersWithSpaces>1441592</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2021-10-18T13:01:00Z</dcterms:created>
  <dc:creator>Fanning, Stephen B (JMD)</dc:creator>
  <cp:lastModifiedBy>Doreen</cp:lastModifiedBy>
  <cp:lastPrinted>2020-04-16T14:23:00Z</cp:lastPrinted>
  <dcterms:modified xsi:type="dcterms:W3CDTF">2022-09-18T15:06:58Z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1370125A17694346A3B84EF131BE8CB4</vt:lpwstr>
  </property>
</Properties>
</file>