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7932743"/>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Cs w:val="22"/>
                <w:lang w:val="en-CA"/>
              </w:rPr>
            </w:pPr>
            <w:r>
              <w:rPr>
                <w:rFonts w:hint="default"/>
              </w:rPr>
              <w:t>Goal 2: End hunger, achieve food security and improved nutrition and promote sustainable agriculture</w:t>
            </w:r>
            <w:r>
              <w:rPr>
                <w:rFonts w:hint="default"/>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Food and Agriculture Organisation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Definition:</w:t>
            </w:r>
          </w:p>
          <w:p>
            <w:pPr>
              <w:bidi w:val="0"/>
              <w:rPr>
                <w:szCs w:val="22"/>
              </w:rPr>
            </w:pPr>
            <w:r>
              <w:t xml:space="preserve">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w:t>
            </w:r>
            <w:r>
              <w:rPr>
                <w:szCs w:val="22"/>
              </w:rPr>
              <w:t>application of the Food Insecurity Experience Scale in more than 140 countries worldwide, starting in 2014.</w:t>
            </w:r>
          </w:p>
          <w:p>
            <w:pPr>
              <w:pStyle w:val="35"/>
              <w:rPr>
                <w:sz w:val="22"/>
                <w:szCs w:val="22"/>
              </w:rPr>
            </w:pPr>
          </w:p>
          <w:p>
            <w:pPr>
              <w:bidi w:val="0"/>
            </w:pPr>
            <w: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ascii="Sitka Subheading" w:hAnsi="Sitka Subheading"/>
                <w:sz w:val="20"/>
                <w:szCs w:val="20"/>
              </w:rPr>
              <w:t xml:space="preserve"> </w:t>
            </w:r>
            <w:r>
              <w:rPr>
                <w:rFonts w:hint="default" w:ascii="Calibri" w:hAnsi="Calibri" w:cs="Calibri"/>
                <w:sz w:val="22"/>
                <w:szCs w:val="22"/>
              </w:rPr>
              <w:t>G</w:t>
            </w:r>
            <w:r>
              <w:rPr>
                <w:rFonts w:hint="default" w:ascii="Calibri" w:hAnsi="Calibri" w:cs="Calibri"/>
                <w:sz w:val="22"/>
                <w:szCs w:val="22"/>
                <w:lang w:val="en-CA"/>
              </w:rPr>
              <w:t xml:space="preserve">hana </w:t>
            </w:r>
            <w:r>
              <w:rPr>
                <w:rFonts w:hint="default" w:ascii="Calibri" w:hAnsi="Calibri" w:cs="Calibri"/>
                <w:sz w:val="22"/>
                <w:szCs w:val="22"/>
              </w:rPr>
              <w:t>L</w:t>
            </w:r>
            <w:r>
              <w:rPr>
                <w:rFonts w:hint="default" w:ascii="Calibri" w:hAnsi="Calibri" w:cs="Calibri"/>
                <w:sz w:val="22"/>
                <w:szCs w:val="22"/>
                <w:lang w:val="en-CA"/>
              </w:rPr>
              <w:t xml:space="preserve">iving </w:t>
            </w:r>
            <w:r>
              <w:rPr>
                <w:rFonts w:hint="default" w:ascii="Calibri" w:hAnsi="Calibri" w:cs="Calibri"/>
                <w:sz w:val="22"/>
                <w:szCs w:val="22"/>
              </w:rPr>
              <w:t>S</w:t>
            </w:r>
            <w:r>
              <w:rPr>
                <w:rFonts w:hint="default" w:ascii="Calibri" w:hAnsi="Calibri" w:cs="Calibri"/>
                <w:sz w:val="22"/>
                <w:szCs w:val="22"/>
                <w:lang w:val="en-CA"/>
              </w:rPr>
              <w:t xml:space="preserve">tandards </w:t>
            </w:r>
            <w:r>
              <w:rPr>
                <w:rFonts w:hint="default" w:ascii="Calibri" w:hAnsi="Calibri" w:cs="Calibri"/>
                <w:sz w:val="22"/>
                <w:szCs w:val="22"/>
              </w:rPr>
              <w:t>S</w:t>
            </w:r>
            <w:r>
              <w:rPr>
                <w:rFonts w:hint="default" w:ascii="Calibri" w:hAnsi="Calibri" w:cs="Calibri"/>
                <w:sz w:val="22"/>
                <w:szCs w:val="22"/>
                <w:lang w:val="en-CA"/>
              </w:rPr>
              <w:t>urvey (GLSS)</w:t>
            </w:r>
            <w:r>
              <w:rPr>
                <w:rFonts w:hint="default" w:ascii="Calibri" w:hAnsi="Calibri" w:cs="Calibri"/>
                <w:sz w:val="22"/>
                <w:szCs w:val="22"/>
              </w:rPr>
              <w:t xml:space="preserve"> Round 7</w:t>
            </w:r>
            <w:r>
              <w:rPr>
                <w:rFonts w:hint="default" w:ascii="Calibri" w:hAnsi="Calibri" w:cs="Calibri"/>
                <w:sz w:val="22"/>
                <w:szCs w:val="22"/>
                <w:lang w:val="en-CA"/>
              </w:rPr>
              <w:t>, 2017</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probability terms, thus ensuring that estimates of prevalence rates in a population are sufficiently reliable even when based on relatively small sample sizes.</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4E7294"/>
    <w:rsid w:val="442014A7"/>
    <w:rsid w:val="65C63310"/>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77</TotalTime>
  <ScaleCrop>false</ScaleCrop>
  <LinksUpToDate>false</LinksUpToDate>
  <CharactersWithSpaces>1442280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Doreen</cp:lastModifiedBy>
  <cp:lastPrinted>2020-04-16T14:23:00Z</cp:lastPrinted>
  <dcterms:modified xsi:type="dcterms:W3CDTF">2022-11-07T12:34:02Z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0C6E9B683E064245AACDA9867635EF6D</vt:lpwstr>
  </property>
</Properties>
</file>