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A5BD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A5BD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A5BD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A5BD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A5BD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A5BD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A5BD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A5BD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A5BD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A5BD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A5BD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A5BD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A5BD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121DED7" w:rsidR="00355460" w:rsidRPr="00E263EC" w:rsidRDefault="00DC72B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20C4B28" w:rsidR="00B66AF3" w:rsidRDefault="00DC72B8" w:rsidP="00B66AF3">
          <w:r>
            <w:t>5.3.1 Proportion of women aged 20-24 years who were married or in a union before age 15 [5.3.1] (SP_DYN_MRBF15)</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A412081"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E070BD7" w:rsidR="0077584C" w:rsidRDefault="00DC72B8"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B3AB1ED" w:rsidR="00F7784D" w:rsidRDefault="00DC72B8"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D06D8AB"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0B6926B" w:rsidR="005377B9" w:rsidRPr="009F305C" w:rsidRDefault="00DC72B8" w:rsidP="009F305C">
            <w:r>
              <w:t>Percentage of early marriages including consensual union, civil marriages and customary marriages experienced by girls before the age of 15 years and also before age 18.</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0FB0F0F" w14:textId="77777777" w:rsidR="00DC72B8" w:rsidRPr="00DC72B8" w:rsidRDefault="00EA5BD5" w:rsidP="00DC72B8">
            <w:pPr>
              <w:pStyle w:val="Heading1"/>
              <w:rPr>
                <w:rFonts w:asciiTheme="minorHAnsi" w:hAnsiTheme="minorHAnsi" w:cstheme="minorHAnsi"/>
                <w:color w:val="auto"/>
                <w:sz w:val="22"/>
                <w:szCs w:val="22"/>
              </w:rPr>
            </w:pPr>
            <w:hyperlink r:id="rId21" w:history="1">
              <w:r w:rsidR="00DC72B8" w:rsidRPr="00DC72B8">
                <w:rPr>
                  <w:rStyle w:val="hidden-sm"/>
                  <w:rFonts w:asciiTheme="minorHAnsi" w:hAnsiTheme="minorHAnsi" w:cstheme="minorHAnsi"/>
                  <w:color w:val="auto"/>
                  <w:sz w:val="22"/>
                  <w:szCs w:val="22"/>
                </w:rPr>
                <w:t xml:space="preserve">Goal 5: </w:t>
              </w:r>
              <w:r w:rsidR="00DC72B8" w:rsidRPr="00DC72B8">
                <w:rPr>
                  <w:rStyle w:val="Hyperlink"/>
                  <w:rFonts w:asciiTheme="minorHAnsi" w:hAnsiTheme="minorHAnsi" w:cstheme="minorHAnsi"/>
                  <w:color w:val="auto"/>
                  <w:sz w:val="22"/>
                  <w:szCs w:val="22"/>
                  <w:u w:val="none"/>
                </w:rPr>
                <w:t xml:space="preserve">Achieve gender equality and empower all women and girls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6E22965B" w14:textId="77777777" w:rsidR="00F3278B" w:rsidRDefault="00F3278B" w:rsidP="00F3278B">
            <w:pPr>
              <w:pStyle w:val="MGTHeader"/>
            </w:pPr>
            <w:r>
              <w:t>Target 5.3: Eliminate all harmful practices, such as child, early and forced marriage and female genital mutilation</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2057543" w14:textId="77777777" w:rsidR="00DC72B8" w:rsidRPr="00DC72B8" w:rsidRDefault="00DC72B8" w:rsidP="00DC72B8">
            <w:pPr>
              <w:pStyle w:val="Heading2"/>
              <w:rPr>
                <w:rFonts w:asciiTheme="minorHAnsi" w:hAnsiTheme="minorHAnsi" w:cstheme="minorHAnsi"/>
                <w:color w:val="auto"/>
                <w:sz w:val="22"/>
                <w:szCs w:val="22"/>
              </w:rPr>
            </w:pPr>
            <w:r w:rsidRPr="00DC72B8">
              <w:rPr>
                <w:rFonts w:asciiTheme="minorHAnsi" w:hAnsiTheme="minorHAnsi" w:cstheme="minorHAnsi"/>
                <w:color w:val="auto"/>
                <w:sz w:val="22"/>
                <w:szCs w:val="22"/>
              </w:rPr>
              <w:t>Indicator 5.3.1: Proportion of women aged 20-24 years who were married or in a union before age 15 and age 18</w:t>
            </w:r>
          </w:p>
          <w:p w14:paraId="48669CAE" w14:textId="77777777" w:rsidR="005377B9" w:rsidRPr="00DC72B8"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tbl>
            <w:tblPr>
              <w:tblW w:w="0" w:type="auto"/>
              <w:tblCellSpacing w:w="15" w:type="dxa"/>
              <w:tblLayout w:type="fixed"/>
              <w:tblCellMar>
                <w:top w:w="15" w:type="dxa"/>
                <w:left w:w="15" w:type="dxa"/>
                <w:bottom w:w="15" w:type="dxa"/>
                <w:right w:w="15" w:type="dxa"/>
              </w:tblCellMar>
              <w:tblLook w:val="04A0" w:firstRow="1" w:lastRow="0" w:firstColumn="1" w:lastColumn="0" w:noHBand="0" w:noVBand="1"/>
            </w:tblPr>
            <w:tblGrid>
              <w:gridCol w:w="95"/>
              <w:gridCol w:w="1195"/>
            </w:tblGrid>
            <w:tr w:rsidR="00DC72B8" w:rsidRPr="00DC72B8" w14:paraId="3F18970B" w14:textId="77777777" w:rsidTr="00DC72B8">
              <w:trPr>
                <w:tblCellSpacing w:w="15" w:type="dxa"/>
              </w:trPr>
              <w:tc>
                <w:tcPr>
                  <w:tcW w:w="36" w:type="dxa"/>
                  <w:vAlign w:val="center"/>
                  <w:hideMark/>
                </w:tcPr>
                <w:p w14:paraId="7A204B1F" w14:textId="77777777" w:rsidR="00DC72B8" w:rsidRPr="00DC72B8" w:rsidRDefault="00DC72B8" w:rsidP="00DC72B8">
                  <w:pPr>
                    <w:spacing w:after="0" w:line="240" w:lineRule="auto"/>
                    <w:rPr>
                      <w:rFonts w:ascii="Times New Roman" w:eastAsia="Times New Roman" w:hAnsi="Times New Roman" w:cs="Times New Roman"/>
                      <w:sz w:val="24"/>
                      <w:szCs w:val="24"/>
                    </w:rPr>
                  </w:pPr>
                </w:p>
              </w:tc>
              <w:tc>
                <w:tcPr>
                  <w:tcW w:w="1150" w:type="dxa"/>
                  <w:vAlign w:val="center"/>
                  <w:hideMark/>
                </w:tcPr>
                <w:p w14:paraId="43EEE6C9" w14:textId="34B4A8BB" w:rsidR="00DC72B8" w:rsidRPr="00DC72B8" w:rsidRDefault="00DC72B8" w:rsidP="00DC72B8">
                  <w:pPr>
                    <w:spacing w:after="0" w:line="240" w:lineRule="auto"/>
                    <w:rPr>
                      <w:rFonts w:eastAsia="Times New Roman" w:cstheme="minorHAnsi"/>
                    </w:rPr>
                  </w:pPr>
                </w:p>
              </w:tc>
            </w:tr>
          </w:tbl>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68FE04F" w14:textId="77777777" w:rsidR="00F3278B" w:rsidRDefault="00F3278B" w:rsidP="00F3278B">
            <w:pPr>
              <w:pStyle w:val="MGTHeader"/>
            </w:pPr>
            <w:r>
              <w:t>The prevalence of child marriage can be interpreted alongside other indicators on girls’ and women’s well-being, including those on women’s health under Goal 3, those on education under Goal 4, those on the status of women under Goal 5, and those around violence against women under Goal 16.</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AF1B90F" w14:textId="77777777" w:rsidR="00F3278B" w:rsidRDefault="00F3278B" w:rsidP="00F3278B">
            <w:pPr>
              <w:pStyle w:val="MGTHeader"/>
              <w:rPr>
                <w:color w:val="4A4A4A"/>
              </w:rPr>
            </w:pPr>
            <w:r>
              <w:t>United Nations Children's Fund (UNICEF)</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17F6E2B" w:rsidR="003E7389" w:rsidRPr="009F305C" w:rsidRDefault="00DC72B8"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491DE0E" w14:textId="77777777" w:rsidR="00F3278B" w:rsidRDefault="00F3278B" w:rsidP="00F3278B">
            <w:pPr>
              <w:shd w:val="clear" w:color="auto" w:fill="FFFFFF"/>
              <w:contextualSpacing/>
              <w:rPr>
                <w:rFonts w:eastAsia="Times New Roman" w:cs="Times New Roman"/>
                <w:color w:val="4A4A4A"/>
                <w:sz w:val="21"/>
                <w:szCs w:val="21"/>
                <w:lang w:eastAsia="en-GB"/>
              </w:rPr>
            </w:pPr>
            <w:r>
              <w:rPr>
                <w:rFonts w:eastAsia="Times New Roman" w:cs="Times New Roman"/>
                <w:b/>
                <w:bCs/>
                <w:color w:val="4A4A4A"/>
                <w:sz w:val="21"/>
                <w:szCs w:val="21"/>
                <w:lang w:eastAsia="en-GB"/>
              </w:rPr>
              <w:t>Definition:</w:t>
            </w:r>
          </w:p>
          <w:p w14:paraId="2B008F30" w14:textId="77777777" w:rsidR="00F3278B" w:rsidRDefault="00F3278B" w:rsidP="00F3278B">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Proportion of women aged 20-24 years who were married or in a union before age 15 and before age 18</w:t>
            </w:r>
          </w:p>
          <w:p w14:paraId="4F81DE95" w14:textId="77777777" w:rsidR="00F3278B" w:rsidRDefault="00F3278B" w:rsidP="00F3278B">
            <w:pPr>
              <w:pStyle w:val="MText"/>
            </w:pPr>
          </w:p>
          <w:p w14:paraId="4444D22B" w14:textId="77777777" w:rsidR="00F3278B" w:rsidRDefault="00F3278B" w:rsidP="00F3278B">
            <w:pPr>
              <w:shd w:val="clear" w:color="auto" w:fill="FFFFFF"/>
              <w:contextualSpacing/>
              <w:rPr>
                <w:rFonts w:eastAsia="Times New Roman" w:cs="Times New Roman"/>
                <w:b/>
                <w:bCs/>
                <w:color w:val="4A4A4A"/>
                <w:sz w:val="21"/>
                <w:szCs w:val="21"/>
                <w:lang w:eastAsia="en-GB"/>
              </w:rPr>
            </w:pPr>
            <w:r>
              <w:rPr>
                <w:rFonts w:eastAsia="Times New Roman" w:cs="Times New Roman"/>
                <w:b/>
                <w:bCs/>
                <w:color w:val="4A4A4A"/>
                <w:sz w:val="21"/>
                <w:szCs w:val="21"/>
                <w:lang w:eastAsia="en-GB"/>
              </w:rPr>
              <w:t>Concepts:</w:t>
            </w:r>
          </w:p>
          <w:p w14:paraId="1F3FA5DF" w14:textId="77777777" w:rsidR="00F3278B" w:rsidRDefault="00F3278B" w:rsidP="00F3278B">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Both formal (i.e., marriages) and informal unions are covered under this indicator. Informal unions are generally defined as those in which a couple lives together for some time, intends to have a lasting relationship, but for which there has been no formal civil or religious ceremony (i.e., cohabitation).</w:t>
            </w:r>
          </w:p>
          <w:p w14:paraId="6C84E827" w14:textId="58E5EBB6"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279C2D6" w:rsidR="0015178E" w:rsidRPr="009F305C" w:rsidRDefault="00DC72B8" w:rsidP="009F305C">
            <w:r>
              <w:t>Percentage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C763A76" w14:textId="5D3A1174" w:rsidR="00F3278B" w:rsidRPr="00EA5BD5" w:rsidRDefault="00F3278B" w:rsidP="00F3278B">
            <w:pPr>
              <w:spacing w:after="0" w:line="240" w:lineRule="auto"/>
              <w:jc w:val="both"/>
              <w:rPr>
                <w:rFonts w:eastAsia="Calibri" w:cstheme="minorHAnsi"/>
                <w:bCs/>
                <w:i/>
                <w:iCs/>
                <w:shd w:val="clear" w:color="auto" w:fill="FFFFFF"/>
              </w:rPr>
            </w:pPr>
            <w:r w:rsidRPr="00EA5BD5">
              <w:rPr>
                <w:rFonts w:eastAsia="Calibri" w:cstheme="minorHAnsi"/>
                <w:bCs/>
                <w:i/>
                <w:iCs/>
                <w:shd w:val="clear" w:color="auto" w:fill="FFFFFF"/>
              </w:rPr>
              <w:t xml:space="preserve">2011 and 2018 Ghana MICS </w:t>
            </w:r>
          </w:p>
          <w:p w14:paraId="1EAD97F0" w14:textId="77777777" w:rsidR="00F3278B" w:rsidRPr="00EA5BD5" w:rsidRDefault="00F3278B" w:rsidP="00F3278B">
            <w:pPr>
              <w:spacing w:after="0" w:line="240" w:lineRule="auto"/>
              <w:jc w:val="both"/>
              <w:rPr>
                <w:rFonts w:eastAsia="Calibri" w:cstheme="minorHAnsi"/>
                <w:b/>
              </w:rPr>
            </w:pPr>
          </w:p>
          <w:p w14:paraId="571CD33E" w14:textId="04AA883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05FB985" w:rsidR="007F2D9F" w:rsidRPr="009F305C" w:rsidRDefault="00DC72B8" w:rsidP="009F305C">
            <w:r>
              <w:t>Currently married or in union women 15 years or older who were married before age 15 and also before age 18 divided by currently married or in union women 15 years or older and multiplied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C72B8"/>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5BD5"/>
    <w:rsid w:val="00EA6E73"/>
    <w:rsid w:val="00EB3760"/>
    <w:rsid w:val="00EC064B"/>
    <w:rsid w:val="00EC6024"/>
    <w:rsid w:val="00EE4BB5"/>
    <w:rsid w:val="00EE79CF"/>
    <w:rsid w:val="00EF453F"/>
    <w:rsid w:val="00F00FDD"/>
    <w:rsid w:val="00F01713"/>
    <w:rsid w:val="00F02B1E"/>
    <w:rsid w:val="00F07040"/>
    <w:rsid w:val="00F2310E"/>
    <w:rsid w:val="00F3278B"/>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DC72B8"/>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03904437">
      <w:bodyDiv w:val="1"/>
      <w:marLeft w:val="0"/>
      <w:marRight w:val="0"/>
      <w:marTop w:val="0"/>
      <w:marBottom w:val="0"/>
      <w:divBdr>
        <w:top w:val="none" w:sz="0" w:space="0" w:color="auto"/>
        <w:left w:val="none" w:sz="0" w:space="0" w:color="auto"/>
        <w:bottom w:val="none" w:sz="0" w:space="0" w:color="auto"/>
        <w:right w:val="none" w:sz="0" w:space="0" w:color="auto"/>
      </w:divBdr>
    </w:div>
    <w:div w:id="25737367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87519179">
      <w:bodyDiv w:val="1"/>
      <w:marLeft w:val="0"/>
      <w:marRight w:val="0"/>
      <w:marTop w:val="0"/>
      <w:marBottom w:val="0"/>
      <w:divBdr>
        <w:top w:val="none" w:sz="0" w:space="0" w:color="auto"/>
        <w:left w:val="none" w:sz="0" w:space="0" w:color="auto"/>
        <w:bottom w:val="none" w:sz="0" w:space="0" w:color="auto"/>
        <w:right w:val="none" w:sz="0" w:space="0" w:color="auto"/>
      </w:divBdr>
    </w:div>
    <w:div w:id="4988922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37067293">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6092741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370652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gender-equality"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400880"/>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TotalTime>
  <Pages>11</Pages>
  <Words>215593</Words>
  <Characters>1228882</Characters>
  <Application>Microsoft Office Word</Application>
  <DocSecurity>8</DocSecurity>
  <Lines>10240</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1441592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2021-10-18T13:01:00Z</dcterms:created>
  <dcterms:modified xsi:type="dcterms:W3CDTF">2021-11-03T11:06:00Z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