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7932743"/>
            <w:bookmarkStart w:id="4" w:name="_Toc36813071"/>
            <w:bookmarkStart w:id="5" w:name="_Toc36812684"/>
            <w:bookmarkStart w:id="6" w:name="_Toc36655608"/>
            <w:bookmarkStart w:id="7" w:name="_Toc36812571"/>
            <w:r>
              <w:rPr>
                <w:rFonts w:hint="default"/>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rPr>
            </w:pPr>
            <w:r>
              <w:rPr>
                <w:rFonts w:hint="default"/>
                <w:sz w:val="22"/>
                <w:szCs w:val="22"/>
              </w:rPr>
              <w:t>Goal: 14: Conserve and sustainably use the oceans, seas and marine resources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rPr>
            </w:pPr>
            <w:r>
              <w:rPr>
                <w:rFonts w:hint="default"/>
                <w:sz w:val="22"/>
                <w:szCs w:val="22"/>
              </w:rPr>
              <w:t>Target 14.1: By 2025, prevent and significantly reduce marine pollution of all kinds, in particular from land-based activities, including marine debris and nutrient pollution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rPr>
            </w:pPr>
            <w:r>
              <w:rPr>
                <w:rFonts w:hint="default"/>
                <w:sz w:val="22"/>
                <w:szCs w:val="22"/>
              </w:rPr>
              <w:t>Indicator 14.1.1: (a) Index of coastal eutrophication; and (b) plastic debris density</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rPr>
            </w:pPr>
            <w:r>
              <w:rPr>
                <w:rFonts w:hint="default"/>
                <w:sz w:val="22"/>
                <w:szCs w:val="22"/>
              </w:rPr>
              <w:t>United Nations Environment Programme (UNEP)</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655609"/>
            <w:bookmarkStart w:id="9" w:name="_Toc36812572"/>
            <w:bookmarkStart w:id="10" w:name="_Toc36812685"/>
            <w:bookmarkStart w:id="11" w:name="_Toc36813072"/>
            <w:bookmarkStart w:id="12" w:name="_Toc37932744"/>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6655610"/>
            <w:bookmarkStart w:id="14" w:name="_Toc36812686"/>
            <w:bookmarkStart w:id="15" w:name="_Toc36812573"/>
            <w:bookmarkStart w:id="16" w:name="_Toc36813073"/>
            <w:bookmarkStart w:id="17" w:name="_Toc37932745"/>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hd w:val="clear" w:fill="FFFFFF"/>
              <w:spacing w:before="0" w:beforeAutospacing="0" w:after="0" w:afterAutospacing="0" w:line="276" w:lineRule="auto"/>
              <w:ind w:left="0" w:right="0"/>
              <w:jc w:val="left"/>
              <w:rPr>
                <w:rFonts w:hint="default"/>
                <w:b/>
                <w:bCs/>
                <w:color w:val="595959"/>
                <w:shd w:val="clear" w:fill="FFFFFF"/>
                <w:lang w:val="en-US"/>
              </w:rPr>
            </w:pPr>
            <w:r>
              <w:rPr>
                <w:rFonts w:hint="default" w:ascii="Calibri" w:hAnsi="Calibri" w:eastAsia="SimSun" w:cs="Arial"/>
                <w:b/>
                <w:bCs/>
                <w:color w:val="595959"/>
                <w:kern w:val="0"/>
                <w:sz w:val="22"/>
                <w:szCs w:val="22"/>
                <w:shd w:val="clear" w:fill="FFFFFF"/>
                <w:lang w:val="en-US" w:eastAsia="zh-CN" w:bidi="ar"/>
              </w:rPr>
              <w:t>Concepts:</w:t>
            </w:r>
          </w:p>
          <w:p>
            <w:pPr>
              <w:keepNext w:val="0"/>
              <w:keepLines w:val="0"/>
              <w:widowControl/>
              <w:suppressLineNumbers w:val="0"/>
              <w:shd w:val="clear" w:fill="FFFFFF"/>
              <w:spacing w:before="0" w:beforeAutospacing="0" w:after="0" w:afterAutospacing="0" w:line="276" w:lineRule="auto"/>
              <w:ind w:left="0" w:right="0"/>
              <w:jc w:val="left"/>
              <w:rPr>
                <w:rFonts w:hint="default"/>
                <w:color w:val="595959"/>
                <w:shd w:val="clear" w:fill="FFFFFF"/>
                <w:lang w:val="en-US"/>
              </w:rPr>
            </w:pPr>
            <w:r>
              <w:rPr>
                <w:rFonts w:hint="default" w:ascii="Calibri" w:hAnsi="Calibri" w:eastAsia="SimSun" w:cs="Arial"/>
                <w:color w:val="595959"/>
                <w:kern w:val="0"/>
                <w:sz w:val="22"/>
                <w:szCs w:val="22"/>
                <w:shd w:val="clear" w:fill="FFFFFF"/>
                <w:lang w:val="en-US" w:eastAsia="zh-CN" w:bidi="ar"/>
              </w:rPr>
              <w:t>Eutrophication – excess nutrient loading into coastal environments from anthropogenic sources, resulting in excessive growth of plants, algae and phytoplankton.</w:t>
            </w:r>
          </w:p>
          <w:p>
            <w:pPr>
              <w:keepNext w:val="0"/>
              <w:keepLines w:val="0"/>
              <w:widowControl/>
              <w:suppressLineNumbers w:val="0"/>
              <w:shd w:val="clear" w:fill="FFFFFF"/>
              <w:spacing w:before="0" w:beforeAutospacing="0" w:after="0" w:afterAutospacing="0" w:line="276" w:lineRule="auto"/>
              <w:ind w:left="0" w:right="0"/>
              <w:jc w:val="left"/>
              <w:rPr>
                <w:rFonts w:hint="default"/>
                <w:color w:val="595959"/>
                <w:shd w:val="clear" w:fill="FFFFFF"/>
                <w:lang w:val="en-US"/>
              </w:rPr>
            </w:pPr>
            <w:r>
              <w:rPr>
                <w:rFonts w:hint="default" w:ascii="Calibri" w:hAnsi="Calibri" w:eastAsia="SimSun" w:cs="Arial"/>
                <w:color w:val="595959"/>
                <w:kern w:val="0"/>
                <w:sz w:val="22"/>
                <w:szCs w:val="22"/>
                <w:shd w:val="clear" w:fill="FFFFFF"/>
                <w:lang w:val="en-US" w:eastAsia="zh-CN" w:bidi="ar"/>
              </w:rPr>
              <w:t xml:space="preserve">Coastal Zone – national </w:t>
            </w:r>
            <w:r>
              <w:rPr>
                <w:rFonts w:hint="default" w:ascii="Calibri" w:hAnsi="Calibri" w:eastAsia="SimSun" w:cs="Arial"/>
                <w:color w:val="595959"/>
                <w:kern w:val="0"/>
                <w:sz w:val="22"/>
                <w:szCs w:val="22"/>
                <w:shd w:val="clear" w:fill="FFFFFF"/>
                <w:lang w:val="en-US" w:eastAsia="zh-CN" w:bidi="ar"/>
              </w:rPr>
              <w:fldChar w:fldCharType="begin"/>
            </w:r>
            <w:r>
              <w:rPr>
                <w:rFonts w:hint="default" w:ascii="Calibri" w:hAnsi="Calibri" w:eastAsia="SimSun" w:cs="Arial"/>
                <w:color w:val="595959"/>
                <w:kern w:val="0"/>
                <w:sz w:val="22"/>
                <w:szCs w:val="22"/>
                <w:shd w:val="clear" w:fill="FFFFFF"/>
                <w:lang w:val="en-US" w:eastAsia="zh-CN" w:bidi="ar"/>
              </w:rPr>
              <w:instrText xml:space="preserve"> HYPERLINK "https://stats.oecd.org/glossary/detail.asp?ID=884" </w:instrText>
            </w:r>
            <w:r>
              <w:rPr>
                <w:rFonts w:hint="default" w:ascii="Calibri" w:hAnsi="Calibri" w:eastAsia="SimSun" w:cs="Arial"/>
                <w:color w:val="595959"/>
                <w:kern w:val="0"/>
                <w:sz w:val="22"/>
                <w:szCs w:val="22"/>
                <w:shd w:val="clear" w:fill="FFFFFF"/>
                <w:lang w:val="en-US" w:eastAsia="zh-CN" w:bidi="ar"/>
              </w:rPr>
              <w:fldChar w:fldCharType="separate"/>
            </w:r>
            <w:r>
              <w:rPr>
                <w:rStyle w:val="18"/>
                <w:rFonts w:hint="default" w:ascii="Calibri" w:hAnsi="Calibri" w:eastAsia="SimSun" w:cs="Arial"/>
                <w:color w:val="595959"/>
                <w:kern w:val="0"/>
                <w:sz w:val="22"/>
                <w:szCs w:val="22"/>
                <w:shd w:val="clear" w:fill="FFFFFF"/>
                <w:lang w:val="en-US" w:eastAsia="zh-CN" w:bidi="ar"/>
              </w:rPr>
              <w:t>Exclusive Economic Zone (EEZ)</w:t>
            </w:r>
            <w:r>
              <w:rPr>
                <w:rFonts w:hint="default" w:ascii="Calibri" w:hAnsi="Calibri" w:eastAsia="SimSun" w:cs="Arial"/>
                <w:color w:val="595959"/>
                <w:kern w:val="0"/>
                <w:sz w:val="22"/>
                <w:szCs w:val="22"/>
                <w:shd w:val="clear" w:fill="FFFFFF"/>
                <w:lang w:val="en-US" w:eastAsia="zh-CN" w:bidi="ar"/>
              </w:rPr>
              <w:fldChar w:fldCharType="end"/>
            </w:r>
            <w:r>
              <w:rPr>
                <w:rFonts w:hint="default" w:ascii="Calibri" w:hAnsi="Calibri" w:eastAsia="SimSun" w:cs="Arial"/>
                <w:color w:val="595959"/>
                <w:kern w:val="0"/>
                <w:sz w:val="22"/>
                <w:szCs w:val="22"/>
                <w:shd w:val="clear" w:fill="FFFFFF"/>
                <w:lang w:val="en-US" w:eastAsia="zh-CN" w:bidi="ar"/>
              </w:rPr>
              <w:t xml:space="preserve"> (200 nautical miles from the coast) as outlined by the </w:t>
            </w:r>
            <w:r>
              <w:rPr>
                <w:rFonts w:hint="default" w:ascii="Calibri" w:hAnsi="Calibri" w:eastAsia="SimSun" w:cs="Arial"/>
                <w:color w:val="595959"/>
                <w:kern w:val="0"/>
                <w:sz w:val="22"/>
                <w:szCs w:val="22"/>
                <w:shd w:val="clear" w:fill="FFFFFF"/>
                <w:lang w:val="en-US" w:eastAsia="zh-CN" w:bidi="ar"/>
              </w:rPr>
              <w:fldChar w:fldCharType="begin"/>
            </w:r>
            <w:r>
              <w:rPr>
                <w:rFonts w:hint="default" w:ascii="Calibri" w:hAnsi="Calibri" w:eastAsia="SimSun" w:cs="Arial"/>
                <w:color w:val="595959"/>
                <w:kern w:val="0"/>
                <w:sz w:val="22"/>
                <w:szCs w:val="22"/>
                <w:shd w:val="clear" w:fill="FFFFFF"/>
                <w:lang w:val="en-US" w:eastAsia="zh-CN" w:bidi="ar"/>
              </w:rPr>
              <w:instrText xml:space="preserve"> HYPERLINK "https://www.un.org/depts/los/convention_agreements/texts/unclos/unclos_e.pdf" </w:instrText>
            </w:r>
            <w:r>
              <w:rPr>
                <w:rFonts w:hint="default" w:ascii="Calibri" w:hAnsi="Calibri" w:eastAsia="SimSun" w:cs="Arial"/>
                <w:color w:val="595959"/>
                <w:kern w:val="0"/>
                <w:sz w:val="22"/>
                <w:szCs w:val="22"/>
                <w:shd w:val="clear" w:fill="FFFFFF"/>
                <w:lang w:val="en-US" w:eastAsia="zh-CN" w:bidi="ar"/>
              </w:rPr>
              <w:fldChar w:fldCharType="separate"/>
            </w:r>
            <w:r>
              <w:rPr>
                <w:rStyle w:val="18"/>
                <w:rFonts w:hint="default" w:ascii="Calibri" w:hAnsi="Calibri" w:eastAsia="SimSun" w:cs="Arial"/>
                <w:color w:val="595959"/>
                <w:kern w:val="0"/>
                <w:sz w:val="22"/>
                <w:szCs w:val="22"/>
                <w:shd w:val="clear" w:fill="FFFFFF"/>
                <w:lang w:val="en-US" w:eastAsia="zh-CN" w:bidi="ar"/>
              </w:rPr>
              <w:t>United Nations Convention on the Law of the Sea</w:t>
            </w:r>
            <w:r>
              <w:rPr>
                <w:rFonts w:hint="default" w:ascii="Calibri" w:hAnsi="Calibri" w:eastAsia="SimSun" w:cs="Arial"/>
                <w:color w:val="595959"/>
                <w:kern w:val="0"/>
                <w:sz w:val="22"/>
                <w:szCs w:val="22"/>
                <w:shd w:val="clear" w:fill="FFFFFF"/>
                <w:lang w:val="en-US" w:eastAsia="zh-CN" w:bidi="ar"/>
              </w:rPr>
              <w:fldChar w:fldCharType="end"/>
            </w:r>
            <w:r>
              <w:rPr>
                <w:rFonts w:hint="default" w:ascii="Calibri" w:hAnsi="Calibri" w:eastAsia="SimSun" w:cs="Arial"/>
                <w:color w:val="595959"/>
                <w:kern w:val="0"/>
                <w:sz w:val="22"/>
                <w:szCs w:val="22"/>
                <w:shd w:val="clear" w:fill="FFFFFF"/>
                <w:lang w:val="en-US" w:eastAsia="zh-CN" w:bidi="ar"/>
              </w:rPr>
              <w:t xml:space="preserve">.   </w:t>
            </w:r>
          </w:p>
          <w:p>
            <w:pPr>
              <w:keepNext w:val="0"/>
              <w:keepLines w:val="0"/>
              <w:widowControl/>
              <w:suppressLineNumbers w:val="0"/>
              <w:shd w:val="clear" w:fill="FFFFFF"/>
              <w:spacing w:before="0" w:beforeAutospacing="0" w:after="0" w:afterAutospacing="0" w:line="276" w:lineRule="auto"/>
              <w:ind w:left="0" w:right="0"/>
              <w:jc w:val="left"/>
              <w:rPr>
                <w:rFonts w:hint="default"/>
              </w:rPr>
            </w:pPr>
            <w:r>
              <w:rPr>
                <w:rFonts w:hint="default" w:ascii="Calibri" w:hAnsi="Calibri" w:eastAsia="SimSun" w:cs="Arial"/>
                <w:color w:val="595959"/>
                <w:kern w:val="0"/>
                <w:sz w:val="22"/>
                <w:szCs w:val="22"/>
                <w:shd w:val="clear" w:fill="FFFFFF"/>
                <w:lang w:val="en-US" w:eastAsia="zh-CN" w:bidi="ar"/>
              </w:rPr>
              <w:t>Marine litter - any persistent, manufactured or processed solid material which is lost or discarded and ends up in the marine and coastal environment.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vertAlign w:val="superscript"/>
                <w:lang w:val="en-CA"/>
              </w:rPr>
            </w:pPr>
            <w:r>
              <w:rPr>
                <w:rFonts w:hint="default"/>
                <w:lang w:val="en-CA"/>
              </w:rPr>
              <w:t>Plastic count per km</w:t>
            </w:r>
            <w:r>
              <w:rPr>
                <w:rFonts w:hint="default"/>
                <w:vertAlign w:val="superscript"/>
                <w:lang w:val="en-CA"/>
              </w:rPr>
              <w:t>2</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6813074"/>
            <w:bookmarkStart w:id="19" w:name="_Toc37932746"/>
            <w:r>
              <w:rPr>
                <w:rFonts w:hint="default"/>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rPr>
              <w:t xml:space="preserve"> Tides data</w:t>
            </w:r>
            <w:r>
              <w:rPr>
                <w:rFonts w:hint="default"/>
                <w:lang w:val="en-CA"/>
              </w:rPr>
              <w:t>base</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Ocean Conservancy</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6812575"/>
            <w:bookmarkStart w:id="21" w:name="_Toc36813075"/>
            <w:bookmarkStart w:id="22" w:name="_Toc36655612"/>
            <w:bookmarkStart w:id="23" w:name="_Toc37932747"/>
            <w:bookmarkStart w:id="24" w:name="_Toc36812688"/>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jc w:val="both"/>
              <w:rPr>
                <w:rFonts w:hint="default"/>
              </w:rPr>
            </w:pPr>
            <w:r>
              <w:rPr>
                <w:rFonts w:hint="default"/>
              </w:rPr>
              <w:t xml:space="preserve"> With over 40 percent of the human population residing in coastal areas, ecosystem degradation in these areas can have disproportionate effects on society (IGOS, 2006). One of the largest pressures on coastal environments is eutrophication, resulting primarily from land-based nutrient input from agricultural runoff and domestic wastewater discharge. Coastal eutrophication can lead to serious damage to marine ecosystems, vital sea habitats, and can cause the spread of harmful algal blooms. Marine litter is found in all the world’s oceans and seas. It constitutes an increasing risk to ecosystem health and biodiversity while entailing substantial economic costs through its impacts on public health, tourism, fishing and aquaculture. Target 14.1 aims to reduce the impacts of pollution through prevention and reduction of marine pollution of all kinds, in particular from land-based activities, including marine debris and nutrient pollution.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vertAlign w:val="baseline"/>
                <w:lang w:val="en-CA"/>
              </w:rPr>
            </w:pPr>
            <w:r>
              <w:rPr>
                <w:rFonts w:hint="default"/>
                <w:lang w:val="en-CA"/>
              </w:rPr>
              <w:t>Plastic count per km</w:t>
            </w:r>
            <w:r>
              <w:rPr>
                <w:rFonts w:hint="default"/>
                <w:vertAlign w:val="superscript"/>
                <w:lang w:val="en-CA"/>
              </w:rPr>
              <w:t>2</w:t>
            </w:r>
            <w:r>
              <w:rPr>
                <w:rFonts w:hint="default"/>
                <w:vertAlign w:val="baseline"/>
                <w:lang w:val="en-CA"/>
              </w:rPr>
              <w:t xml:space="preserve"> = (1,000,000*number of plastics found)/(total area cleaned)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6655613"/>
            <w:bookmarkStart w:id="26" w:name="_Toc36812576"/>
            <w:bookmarkStart w:id="27" w:name="_Toc37932748"/>
            <w:bookmarkStart w:id="28" w:name="_Toc36812689"/>
            <w:bookmarkStart w:id="29" w:name="_Toc36813076"/>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characterSpacingControl w:val="doNotCompress"/>
  <w:footnotePr>
    <w:footnote w:id="2"/>
    <w:footnote w:id="3"/>
  </w:footnotePr>
  <w:endnotePr>
    <w:numFmt w:val="decimal"/>
    <w:endnote w:id="0"/>
    <w:endnote w:id="1"/>
  </w:endnotePr>
  <w:compat>
    <w:doNotExpandShiftReturn/>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21FA4"/>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2092"/>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CD50CDA"/>
    <w:rsid w:val="23EC4AD8"/>
    <w:rsid w:val="3D8B1E2B"/>
    <w:rsid w:val="4C736C2F"/>
    <w:rsid w:val="58D961DE"/>
    <w:rsid w:val="5D1F1659"/>
    <w:rsid w:val="6C70396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Calibri" w:hAnsi="Calibri" w:eastAsia="SimSun" w:cs="Arial"/>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200" w:afterAutospacing="0" w:line="276" w:lineRule="auto"/>
      <w:ind w:left="0" w:right="0"/>
    </w:pPr>
    <w:rPr>
      <w:rFonts w:hint="default" w:ascii="Calibri" w:hAnsi="Calibri" w:cs="Arial"/>
      <w:sz w:val="22"/>
      <w:szCs w:val="22"/>
      <w:lang w:val="en-US" w:eastAsia="zh-CN"/>
    </w:rPr>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rPr>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table" w:customStyle="1" w:styleId="54">
    <w:name w:val="Grid Table 5 Dark - Accent 31"/>
    <w:qFormat/>
    <w:uiPriority w:val="0"/>
    <w:pPr>
      <w:keepNext w:val="0"/>
      <w:keepLines w:val="0"/>
      <w:widowControl/>
      <w:suppressLineNumbers w:val="0"/>
      <w:spacing w:before="0" w:beforeAutospacing="0" w:after="0" w:afterAutospacing="0"/>
      <w:ind w:left="0" w:right="0"/>
    </w:pPr>
    <w:rPr>
      <w:rFonts w:hint="default" w:ascii="Calibri" w:hAnsi="Calibri" w:eastAsia="Calibri" w:cs="Arial"/>
      <w:sz w:val="22"/>
      <w:szCs w:val="22"/>
      <w:lang w:val="fr"/>
    </w:rPr>
    <w:tblPr>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tblCellMar>
        <w:top w:w="0" w:type="dxa"/>
        <w:left w:w="108" w:type="dxa"/>
        <w:bottom w:w="0" w:type="dxa"/>
        <w:right w:w="108" w:type="dxa"/>
      </w:tblCellMar>
    </w:tblPr>
    <w:tcPr>
      <w:tcBorders>
        <w:top w:val="single" w:color="FFFFFF" w:sz="4" w:space="0"/>
        <w:left w:val="single" w:color="FFFFFF" w:sz="4" w:space="0"/>
        <w:bottom w:val="single" w:color="FFFFFF" w:sz="4" w:space="0"/>
        <w:right w:val="single" w:color="FFFFFF" w:sz="4" w:space="0"/>
      </w:tcBorders>
      <w:shd w:val="clear" w:color="auto" w:fill="EAF1DD"/>
    </w:tcPr>
    <w:tblStylePr w:type="firstRow">
      <w:rPr>
        <w:b/>
        <w:bCs/>
        <w:color w:val="FFFFFF"/>
      </w:rPr>
      <w:tcPr>
        <w:tcBorders>
          <w:top w:val="single" w:color="FFFFFF" w:sz="4" w:space="0"/>
          <w:left w:val="single" w:color="FFFFFF" w:sz="4" w:space="0"/>
          <w:right w:val="single" w:color="FFFFFF" w:sz="4" w:space="0"/>
        </w:tcBorders>
        <w:shd w:val="clear" w:color="auto" w:fill="9BBB59"/>
      </w:tcPr>
    </w:tblStylePr>
    <w:tblStylePr w:type="lastRow">
      <w:rPr>
        <w:b/>
        <w:bCs/>
        <w:color w:val="FFFFFF"/>
      </w:rPr>
      <w:tcPr>
        <w:tcBorders>
          <w:left w:val="single" w:color="FFFFFF" w:sz="4" w:space="0"/>
          <w:bottom w:val="single" w:color="FFFFFF" w:sz="4" w:space="0"/>
          <w:right w:val="single" w:color="FFFFFF" w:sz="4" w:space="0"/>
        </w:tcBorders>
        <w:shd w:val="clear" w:color="auto" w:fill="9BBB59"/>
      </w:tcPr>
    </w:tblStylePr>
    <w:tblStylePr w:type="firstCol">
      <w:rPr>
        <w:b/>
        <w:bCs/>
        <w:color w:val="FFFFFF"/>
      </w:rPr>
      <w:tcPr>
        <w:tcBorders>
          <w:top w:val="single" w:color="FFFFFF" w:sz="4" w:space="0"/>
          <w:left w:val="single" w:color="FFFFFF" w:sz="4" w:space="0"/>
          <w:bottom w:val="single" w:color="FFFFFF" w:sz="4" w:space="0"/>
        </w:tcBorders>
        <w:shd w:val="clear" w:color="auto" w:fill="9BBB59"/>
      </w:tcPr>
    </w:tblStylePr>
    <w:tblStylePr w:type="lastCol">
      <w:rPr>
        <w:b/>
        <w:bCs/>
        <w:color w:val="FFFFFF"/>
      </w:rPr>
      <w:tcPr>
        <w:tcBorders>
          <w:top w:val="single" w:color="FFFFFF" w:sz="4" w:space="0"/>
          <w:bottom w:val="single" w:color="FFFFFF" w:sz="4" w:space="0"/>
          <w:right w:val="single" w:color="FFFFFF" w:sz="4" w:space="0"/>
        </w:tcBorders>
        <w:shd w:val="clear" w:color="auto" w:fill="9BBB59"/>
      </w:tcPr>
    </w:tblStylePr>
    <w:tblStylePr w:type="band1Vert">
      <w:tcPr>
        <w:shd w:val="clear" w:color="auto" w:fill="D6E3BC"/>
      </w:tcPr>
    </w:tblStylePr>
    <w:tblStylePr w:type="band1Horz">
      <w:tcPr>
        <w:shd w:val="clear" w:color="auto" w:fill="D6E3BC"/>
      </w:tcPr>
    </w:tblStylePr>
  </w:style>
  <w:style w:type="table" w:customStyle="1" w:styleId="55">
    <w:name w:val="Grid Table 5 Dark - Accent 3"/>
    <w:qFormat/>
    <w:uiPriority w:val="0"/>
    <w:pPr>
      <w:keepNext w:val="0"/>
      <w:keepLines w:val="0"/>
      <w:widowControl/>
      <w:suppressLineNumbers w:val="0"/>
      <w:spacing w:before="0" w:beforeAutospacing="0" w:after="0" w:afterAutospacing="0"/>
      <w:ind w:left="0" w:right="0"/>
    </w:pPr>
    <w:rPr>
      <w:rFonts w:hint="default" w:ascii="Calibri" w:hAnsi="Calibri" w:eastAsia="Calibri" w:cs="Arial"/>
      <w:sz w:val="22"/>
      <w:szCs w:val="22"/>
      <w:lang w:val="fr"/>
    </w:rPr>
    <w:tblPr>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tblCellMar>
        <w:top w:w="0" w:type="dxa"/>
        <w:left w:w="108" w:type="dxa"/>
        <w:bottom w:w="0" w:type="dxa"/>
        <w:right w:w="108" w:type="dxa"/>
      </w:tblCellMar>
    </w:tblPr>
    <w:tcPr>
      <w:tcBorders>
        <w:top w:val="single" w:color="FFFFFF" w:sz="4" w:space="0"/>
        <w:left w:val="single" w:color="FFFFFF" w:sz="4" w:space="0"/>
        <w:bottom w:val="single" w:color="FFFFFF" w:sz="4" w:space="0"/>
        <w:right w:val="single" w:color="FFFFFF" w:sz="4" w:space="0"/>
      </w:tcBorders>
      <w:shd w:val="clear" w:color="auto" w:fill="EAF1DD"/>
    </w:tcPr>
    <w:tblStylePr w:type="firstRow">
      <w:rPr>
        <w:b/>
        <w:bCs/>
        <w:color w:val="FFFFFF"/>
      </w:rPr>
      <w:tcPr>
        <w:tcBorders>
          <w:top w:val="single" w:color="FFFFFF" w:sz="4" w:space="0"/>
          <w:left w:val="single" w:color="FFFFFF" w:sz="4" w:space="0"/>
          <w:right w:val="single" w:color="FFFFFF" w:sz="4" w:space="0"/>
        </w:tcBorders>
        <w:shd w:val="clear" w:color="auto" w:fill="9BBB59"/>
      </w:tcPr>
    </w:tblStylePr>
    <w:tblStylePr w:type="lastRow">
      <w:rPr>
        <w:b/>
        <w:bCs/>
        <w:color w:val="FFFFFF"/>
      </w:rPr>
      <w:tcPr>
        <w:tcBorders>
          <w:left w:val="single" w:color="FFFFFF" w:sz="4" w:space="0"/>
          <w:bottom w:val="single" w:color="FFFFFF" w:sz="4" w:space="0"/>
          <w:right w:val="single" w:color="FFFFFF" w:sz="4" w:space="0"/>
        </w:tcBorders>
        <w:shd w:val="clear" w:color="auto" w:fill="9BBB59"/>
      </w:tcPr>
    </w:tblStylePr>
    <w:tblStylePr w:type="firstCol">
      <w:rPr>
        <w:b/>
        <w:bCs/>
        <w:color w:val="FFFFFF"/>
      </w:rPr>
      <w:tcPr>
        <w:tcBorders>
          <w:top w:val="single" w:color="FFFFFF" w:sz="4" w:space="0"/>
          <w:left w:val="single" w:color="FFFFFF" w:sz="4" w:space="0"/>
          <w:bottom w:val="single" w:color="FFFFFF" w:sz="4" w:space="0"/>
        </w:tcBorders>
        <w:shd w:val="clear" w:color="auto" w:fill="9BBB59"/>
      </w:tcPr>
    </w:tblStylePr>
    <w:tblStylePr w:type="lastCol">
      <w:rPr>
        <w:b/>
        <w:bCs/>
        <w:color w:val="FFFFFF"/>
      </w:rPr>
      <w:tcPr>
        <w:tcBorders>
          <w:top w:val="single" w:color="FFFFFF" w:sz="4" w:space="0"/>
          <w:bottom w:val="single" w:color="FFFFFF" w:sz="4" w:space="0"/>
          <w:right w:val="single" w:color="FFFFFF" w:sz="4" w:space="0"/>
        </w:tcBorders>
        <w:shd w:val="clear" w:color="auto" w:fill="9BBB59"/>
      </w:tcPr>
    </w:tblStylePr>
    <w:tblStylePr w:type="band1Vert">
      <w:tcPr>
        <w:shd w:val="clear" w:color="auto" w:fill="D6E3BC"/>
      </w:tcPr>
    </w:tblStylePr>
    <w:tblStylePr w:type="band1Horz">
      <w:tcPr>
        <w:shd w:val="clear" w:color="auto" w:fill="D6E3BC"/>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215415</Words>
  <Characters>1227871</Characters>
  <Lines>10232</Lines>
  <Paragraphs>2880</Paragraphs>
  <TotalTime>11</TotalTime>
  <ScaleCrop>false</ScaleCrop>
  <LinksUpToDate>false</LinksUpToDate>
  <CharactersWithSpaces>1440406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2021-11-05T10:28:00Z</dcterms:created>
  <dc:creator>Fanning, Stephen B (JMD)</dc:creator>
  <cp:lastModifiedBy>Doreen</cp:lastModifiedBy>
  <cp:lastPrinted>2020-04-16T14:23:00Z</cp:lastPrinted>
  <dcterms:modified xsi:type="dcterms:W3CDTF">2022-11-15T17:40:39Z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AF4EDBC6FAA649BA9CB96ED5799D7789</vt:lpwstr>
  </property>
</Properties>
</file>