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8.9.1 Tourism direct GDP as a proportion of total GDP [8.9.1] (ST_GDP_ZS)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8.9: By 2030, devise and implement policies to promote sustainable tourism that creates jobs and promotes local culture and products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Indicator 8.9.1: Tourism direct GDP as a proportion of total GDP and in growth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Contribution of hotel and restaurant sub-sector to GDP</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Growth rate of hotel and restaurant sub-sector</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12.b.1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Tourism Organization (UNWTO)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3072"/>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 xml:space="preserve">Tourism Direct GDP (TDGDP) is defined as the sum of the part of gross value added (at basic prices) generated by all industries in response to internal tourism consumption plus the amount of net taxes on products and imports included within the value of this expenditure at purchasers’ prices. The indicator relies on the </w:t>
            </w:r>
            <w:r>
              <w:rPr>
                <w:rFonts w:hint="default" w:cs="Times New Roman" w:asciiTheme="minorAscii" w:hAnsiTheme="minorAscii"/>
                <w:i w:val="0"/>
                <w:iCs w:val="0"/>
                <w:caps w:val="0"/>
                <w:color w:val="000000"/>
                <w:spacing w:val="0"/>
                <w:sz w:val="22"/>
                <w:szCs w:val="22"/>
              </w:rPr>
              <w:fldChar w:fldCharType="begin"/>
            </w:r>
            <w:r>
              <w:rPr>
                <w:rFonts w:hint="default" w:cs="Times New Roman" w:asciiTheme="minorAscii" w:hAnsiTheme="minorAscii"/>
                <w:i w:val="0"/>
                <w:iCs w:val="0"/>
                <w:caps w:val="0"/>
                <w:color w:val="000000"/>
                <w:spacing w:val="0"/>
                <w:sz w:val="22"/>
                <w:szCs w:val="22"/>
              </w:rPr>
              <w:instrText xml:space="preserve"> HYPERLINK "https://unstats.un.org/unsd/publication/seriesf/seriesf_80rev1e.pdf" </w:instrText>
            </w:r>
            <w:r>
              <w:rPr>
                <w:rFonts w:hint="default" w:cs="Times New Roman" w:asciiTheme="minorAscii" w:hAnsiTheme="minorAscii"/>
                <w:i w:val="0"/>
                <w:iCs w:val="0"/>
                <w:caps w:val="0"/>
                <w:color w:val="000000"/>
                <w:spacing w:val="0"/>
                <w:sz w:val="22"/>
                <w:szCs w:val="22"/>
              </w:rPr>
              <w:fldChar w:fldCharType="separate"/>
            </w:r>
            <w:r>
              <w:rPr>
                <w:rStyle w:val="18"/>
                <w:rFonts w:hint="default" w:cs="Times New Roman" w:asciiTheme="minorAscii" w:hAnsiTheme="minorAscii"/>
                <w:i w:val="0"/>
                <w:iCs w:val="0"/>
                <w:caps w:val="0"/>
                <w:color w:val="000000"/>
                <w:spacing w:val="0"/>
                <w:sz w:val="22"/>
                <w:szCs w:val="22"/>
              </w:rPr>
              <w:t>Tourism Satellite Account: Recommended Methodological Framework 2008</w:t>
            </w:r>
            <w:r>
              <w:rPr>
                <w:rFonts w:hint="default" w:cs="Times New Roman" w:asciiTheme="minorAscii" w:hAnsiTheme="minorAscii"/>
                <w:i w:val="0"/>
                <w:iCs w:val="0"/>
                <w:caps w:val="0"/>
                <w:color w:val="000000"/>
                <w:spacing w:val="0"/>
                <w:sz w:val="22"/>
                <w:szCs w:val="22"/>
              </w:rPr>
              <w:fldChar w:fldCharType="end"/>
            </w:r>
            <w:r>
              <w:rPr>
                <w:rFonts w:hint="default" w:cs="Times New Roman" w:asciiTheme="minorAscii" w:hAnsiTheme="minorAscii"/>
                <w:i w:val="0"/>
                <w:iCs w:val="0"/>
                <w:caps w:val="0"/>
                <w:color w:val="000000"/>
                <w:spacing w:val="0"/>
                <w:sz w:val="22"/>
                <w:szCs w:val="22"/>
              </w:rPr>
              <w:t>, an international</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standard adopted by the UN Statistical Commission</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w:t>
            </w:r>
          </w:p>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Concepts: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lang w:val="en-CA"/>
              </w:rPr>
            </w:pPr>
            <w:r>
              <w:rPr>
                <w:rFonts w:hint="default" w:cs="Times New Roman" w:asciiTheme="minorAscii" w:hAnsiTheme="minorAscii"/>
                <w:i w:val="0"/>
                <w:iCs w:val="0"/>
                <w:caps w:val="0"/>
                <w:color w:val="000000"/>
                <w:spacing w:val="0"/>
                <w:sz w:val="22"/>
                <w:szCs w:val="22"/>
              </w:rPr>
              <w:t>Tourism direct gross value added (TDGVA) is the part of gross value added generated by tourism industries and other industries of the economy that directly serve visitors in response to internal tourism consumption.</w:t>
            </w:r>
            <w:r>
              <w:rPr>
                <w:rFonts w:hint="default" w:cs="Times New Roman" w:asciiTheme="minorAscii" w:hAnsiTheme="minorAscii"/>
                <w:i w:val="0"/>
                <w:iCs w:val="0"/>
                <w:caps w:val="0"/>
                <w:color w:val="000000"/>
                <w:spacing w:val="0"/>
                <w:sz w:val="22"/>
                <w:szCs w:val="22"/>
                <w:lang w:val="en-CA"/>
              </w:rPr>
              <w:t xml:space="preserve"> </w:t>
            </w:r>
          </w:p>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 xml:space="preserve">Gross Domestic Product (GDP): It is the main measure of national output, representing the total value of all final goods and services within the </w:t>
            </w:r>
            <w:r>
              <w:rPr>
                <w:rFonts w:hint="default" w:cs="Times New Roman" w:asciiTheme="minorAscii" w:hAnsiTheme="minorAscii"/>
                <w:i w:val="0"/>
                <w:iCs w:val="0"/>
                <w:caps w:val="0"/>
                <w:color w:val="000000"/>
                <w:spacing w:val="0"/>
                <w:sz w:val="22"/>
                <w:szCs w:val="22"/>
              </w:rPr>
              <w:fldChar w:fldCharType="begin"/>
            </w:r>
            <w:r>
              <w:rPr>
                <w:rFonts w:hint="default" w:cs="Times New Roman" w:asciiTheme="minorAscii" w:hAnsiTheme="minorAscii"/>
                <w:i w:val="0"/>
                <w:iCs w:val="0"/>
                <w:caps w:val="0"/>
                <w:color w:val="000000"/>
                <w:spacing w:val="0"/>
                <w:sz w:val="22"/>
                <w:szCs w:val="22"/>
              </w:rPr>
              <w:instrText xml:space="preserve"> HYPERLINK "https://unstats.un.org/unsd/nationalaccount/glossresults.asp?gID=453" \l ":~:text=The%20production%20boundary%20includes%20(a,(b)%20the%20own%2Daccount" </w:instrText>
            </w:r>
            <w:r>
              <w:rPr>
                <w:rFonts w:hint="default" w:cs="Times New Roman" w:asciiTheme="minorAscii" w:hAnsiTheme="minorAscii"/>
                <w:i w:val="0"/>
                <w:iCs w:val="0"/>
                <w:caps w:val="0"/>
                <w:color w:val="000000"/>
                <w:spacing w:val="0"/>
                <w:sz w:val="22"/>
                <w:szCs w:val="22"/>
              </w:rPr>
              <w:fldChar w:fldCharType="separate"/>
            </w:r>
            <w:r>
              <w:rPr>
                <w:rStyle w:val="18"/>
                <w:rFonts w:hint="default" w:cs="Times New Roman" w:asciiTheme="minorAscii" w:hAnsiTheme="minorAscii"/>
                <w:i w:val="0"/>
                <w:iCs w:val="0"/>
                <w:caps w:val="0"/>
                <w:color w:val="000000"/>
                <w:spacing w:val="0"/>
                <w:sz w:val="22"/>
                <w:szCs w:val="22"/>
              </w:rPr>
              <w:t>System of National Accounts (SNA) production boundary</w:t>
            </w:r>
            <w:r>
              <w:rPr>
                <w:rFonts w:hint="default" w:cs="Times New Roman" w:asciiTheme="minorAscii" w:hAnsiTheme="minorAscii"/>
                <w:i w:val="0"/>
                <w:iCs w:val="0"/>
                <w:caps w:val="0"/>
                <w:color w:val="000000"/>
                <w:spacing w:val="0"/>
                <w:sz w:val="22"/>
                <w:szCs w:val="22"/>
              </w:rPr>
              <w:fldChar w:fldCharType="end"/>
            </w:r>
            <w:r>
              <w:rPr>
                <w:rFonts w:hint="default" w:cs="Times New Roman" w:asciiTheme="minorAscii" w:hAnsiTheme="minorAscii"/>
                <w:i w:val="0"/>
                <w:iCs w:val="0"/>
                <w:caps w:val="0"/>
                <w:color w:val="000000"/>
                <w:spacing w:val="0"/>
                <w:sz w:val="22"/>
                <w:szCs w:val="22"/>
              </w:rPr>
              <w:t xml:space="preserve"> produced in a particular economy (that is, the dollar value of all goods and services within the SNA production boundary produced within a country’s borders in a given year). GDP is also equal to the sum of the final uses of goods and services (all uses except intermediate consumption) measured at purchasers’ prices</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GDP is also equal to the sum of primary incomes distributed by resident producer units.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National Accounts,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2688"/>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cs="Times New Roman" w:asciiTheme="minorAscii" w:hAnsiTheme="minorAscii"/>
                <w:i w:val="0"/>
                <w:iCs w:val="0"/>
                <w:caps w:val="0"/>
                <w:color w:val="000000"/>
                <w:spacing w:val="0"/>
                <w:sz w:val="22"/>
                <w:szCs w:val="22"/>
                <w:lang w:val="en-CA"/>
              </w:rPr>
              <w:t xml:space="preserve">This </w:t>
            </w:r>
            <w:r>
              <w:rPr>
                <w:rFonts w:hint="default" w:cs="Times New Roman" w:asciiTheme="minorAscii" w:hAnsiTheme="minorAscii"/>
                <w:i w:val="0"/>
                <w:iCs w:val="0"/>
                <w:caps w:val="0"/>
                <w:color w:val="000000"/>
                <w:spacing w:val="0"/>
                <w:sz w:val="22"/>
                <w:szCs w:val="22"/>
              </w:rPr>
              <w:t>indicator caters to the core intention of the target which calls to “promote sustainable tourism”. While sustainable tourism is multidimensional in itself (with economic, social and environmental aspects), the economic contribution of tourism captured by this indicator, and (relative) increases or decreases in it, indicates the degree to which tourism is being successfully promoted. Ideally, this indicator needs to be complemented with additional indicators on the social (e.g. employment, etc.) and environmental (energy use, GHG emissions, etc.) aspects of tourism that can be disaggregated to provide a more complete picture of the promotion of sustainable tourism and thus the monitoring of this target.</w:t>
            </w:r>
            <w:r>
              <w:rPr>
                <w:rFonts w:hint="default" w:cs="Times New Roman" w:asciiTheme="minorAscii" w:hAnsiTheme="minorAscii"/>
                <w:i w:val="0"/>
                <w:iCs w:val="0"/>
                <w:caps w:val="0"/>
                <w:color w:val="000000"/>
                <w:spacing w:val="0"/>
                <w:sz w:val="22"/>
                <w:szCs w:val="22"/>
                <w:lang w:val="en-CA"/>
              </w:rPr>
              <w:t xml:space="preserve"> </w:t>
            </w:r>
            <w:r>
              <w:rPr>
                <w:rFonts w:hint="default" w:cs="Times New Roman" w:asciiTheme="minorAscii" w:hAnsiTheme="minorAscii"/>
                <w:i w:val="0"/>
                <w:iCs w:val="0"/>
                <w:caps w:val="0"/>
                <w:color w:val="000000"/>
                <w:spacing w:val="0"/>
                <w:sz w:val="22"/>
                <w:szCs w:val="22"/>
              </w:rPr>
              <w:t>This indicator is useful for polic</w:t>
            </w:r>
            <w:r>
              <w:rPr>
                <w:rFonts w:hint="default" w:cs="Times New Roman" w:asciiTheme="minorAscii" w:hAnsiTheme="minorAscii"/>
                <w:i w:val="0"/>
                <w:iCs w:val="0"/>
                <w:caps w:val="0"/>
                <w:color w:val="000000"/>
                <w:spacing w:val="0"/>
                <w:sz w:val="22"/>
                <w:szCs w:val="22"/>
                <w:lang w:val="en-CA"/>
              </w:rPr>
              <w:t>ies</w:t>
            </w:r>
            <w:r>
              <w:rPr>
                <w:rFonts w:hint="default" w:cs="Times New Roman" w:asciiTheme="minorAscii" w:hAnsiTheme="minorAscii"/>
                <w:i w:val="0"/>
                <w:iCs w:val="0"/>
                <w:caps w:val="0"/>
                <w:color w:val="000000"/>
                <w:spacing w:val="0"/>
                <w:sz w:val="22"/>
                <w:szCs w:val="22"/>
              </w:rPr>
              <w:t xml:space="preserve"> on tourism at international, national level and the level of sub-national regions as it provides a measure of the economic contribution of tourism</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The indicator has been found especially useful in raising awareness of the economic importance of tourism and making the case for a more proactive, sustainable management of a sector that is often overlooked in policy agendas at all levels.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eastAsia="SimSun" w:cs="SimSun" w:asciiTheme="minorAscii" w:hAnsiTheme="minorAscii"/>
                <w:sz w:val="22"/>
                <w:szCs w:val="22"/>
              </w:rPr>
            </w:pPr>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p>
            <w:pPr>
              <w:keepNext w:val="0"/>
              <w:keepLines w:val="0"/>
              <w:widowControl/>
              <w:suppressLineNumbers w:val="0"/>
              <w:jc w:val="left"/>
              <w:rPr>
                <w:rFonts w:hint="default" w:ascii="Calibri" w:hAnsi="Calibri" w:cs="Calibri"/>
                <w:sz w:val="22"/>
                <w:szCs w:val="22"/>
              </w:rPr>
            </w:pPr>
            <w:r>
              <w:rPr>
                <w:rFonts w:hint="default" w:ascii="Calibri" w:hAnsi="Calibri" w:eastAsia="SimSun" w:cs="Calibri"/>
                <w:sz w:val="22"/>
                <w:szCs w:val="22"/>
              </w:rPr>
              <w:fldChar w:fldCharType="begin"/>
            </w:r>
            <w:r>
              <w:rPr>
                <w:rFonts w:hint="default" w:ascii="Calibri" w:hAnsi="Calibri" w:eastAsia="SimSun" w:cs="Calibri"/>
                <w:sz w:val="22"/>
                <w:szCs w:val="22"/>
              </w:rPr>
              <w:instrText xml:space="preserve"> HYPERLINK "https://www.unwto.org/tourism-statistics/on-basic-tourism-statistics-irts-2008#:~:text=The%20International%20Recommendations%20for%20Tourism,development%20of%20their%20statistical%20systems." </w:instrText>
            </w:r>
            <w:r>
              <w:rPr>
                <w:rFonts w:hint="default" w:ascii="Calibri" w:hAnsi="Calibri" w:eastAsia="SimSun" w:cs="Calibri"/>
                <w:sz w:val="22"/>
                <w:szCs w:val="22"/>
              </w:rPr>
              <w:fldChar w:fldCharType="separate"/>
            </w:r>
            <w:bookmarkStart w:id="38" w:name="_GoBack"/>
            <w:r>
              <w:rPr>
                <w:rFonts w:hint="default" w:ascii="Calibri" w:hAnsi="Calibri" w:eastAsia="SimSun" w:cs="Calibri"/>
                <w:kern w:val="0"/>
                <w:sz w:val="22"/>
                <w:szCs w:val="22"/>
                <w:lang w:val="en-US" w:eastAsia="zh-CN" w:bidi="ar"/>
              </w:rPr>
              <w:fldChar w:fldCharType="begin"/>
            </w:r>
            <w:r>
              <w:rPr>
                <w:rFonts w:hint="default" w:ascii="Calibri" w:hAnsi="Calibri" w:eastAsia="SimSun" w:cs="Calibri"/>
                <w:kern w:val="0"/>
                <w:sz w:val="22"/>
                <w:szCs w:val="22"/>
                <w:lang w:val="en-US" w:eastAsia="zh-CN" w:bidi="ar"/>
              </w:rPr>
              <w:instrText xml:space="preserve"> HYPERLINK "http://bit.ly/3fU5hKD" \t "_blank" </w:instrText>
            </w:r>
            <w:r>
              <w:rPr>
                <w:rFonts w:hint="default" w:ascii="Calibri" w:hAnsi="Calibri" w:eastAsia="SimSun" w:cs="Calibri"/>
                <w:kern w:val="0"/>
                <w:sz w:val="22"/>
                <w:szCs w:val="22"/>
                <w:lang w:val="en-US" w:eastAsia="zh-CN" w:bidi="ar"/>
              </w:rPr>
              <w:fldChar w:fldCharType="separate"/>
            </w:r>
            <w:r>
              <w:rPr>
                <w:rStyle w:val="18"/>
                <w:rFonts w:hint="default" w:ascii="Calibri" w:hAnsi="Calibri" w:eastAsia="SimSun" w:cs="Calibri"/>
                <w:sz w:val="22"/>
                <w:szCs w:val="22"/>
              </w:rPr>
              <w:t>bit.ly/3fU5hKD</w:t>
            </w:r>
          </w:p>
          <w:p>
            <w:pPr>
              <w:keepNext w:val="0"/>
              <w:keepLines w:val="0"/>
              <w:widowControl/>
              <w:suppressLineNumbers w:val="0"/>
              <w:jc w:val="left"/>
              <w:rPr>
                <w:rFonts w:hint="default" w:ascii="Calibri" w:hAnsi="Calibri" w:cs="Calibri"/>
                <w:sz w:val="22"/>
                <w:szCs w:val="22"/>
              </w:rPr>
            </w:pPr>
            <w:r>
              <w:rPr>
                <w:rFonts w:hint="default" w:ascii="Calibri" w:hAnsi="Calibri" w:eastAsia="SimSun" w:cs="Calibri"/>
                <w:kern w:val="0"/>
                <w:sz w:val="22"/>
                <w:szCs w:val="22"/>
                <w:lang w:val="en-US" w:eastAsia="zh-CN" w:bidi="ar"/>
              </w:rPr>
              <w:fldChar w:fldCharType="end"/>
            </w:r>
            <w:bookmarkEnd w:id="38"/>
          </w:p>
          <w:p>
            <w:pPr>
              <w:rPr>
                <w:rFonts w:hint="default" w:eastAsia="SimSun" w:cs="SimSun" w:asciiTheme="minorAscii" w:hAnsiTheme="minorAscii"/>
                <w:sz w:val="22"/>
                <w:szCs w:val="22"/>
                <w:lang w:val="en-CA"/>
              </w:rPr>
            </w:pPr>
            <w:r>
              <w:rPr>
                <w:rFonts w:hint="default" w:ascii="Calibri" w:hAnsi="Calibri" w:eastAsia="SimSun" w:cs="Calibr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C6C4731"/>
    <w:rsid w:val="3BF8170D"/>
    <w:rsid w:val="47A6529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29</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2022-11-11T06:18:24Z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84D3FBB21EA4477C818C0C0F0D984C0A</vt:lpwstr>
  </property>
</Properties>
</file>