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2.a.2 Total official flows (disbursements) for agriculture, by recipient countries [2.a.2] (DC_TOF_AGRL)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684"/>
            <w:bookmarkStart w:id="6" w:name="_Toc36812571"/>
            <w:bookmarkStart w:id="7" w:name="_Toc36655608"/>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2: End hunger, achieve food security and improved nutrition and promote sustainable agriculture</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lang w:eastAsia="en-GB"/>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2.a.2: Total official flows (official development assistance plus other official flows) to the agriculture sector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Organisation for Economic Co-operation and Development (OECD)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8125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Investment Promotion Centre</w:t>
            </w:r>
            <w:r>
              <w:rPr>
                <w:rFonts w:hint="default"/>
                <w:lang w:val="en-CA"/>
              </w:rPr>
              <w:t xml:space="preserve"> (GIPC)</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655610"/>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t>Percentage of total Foreign Direct Investment that flows into agriculture sector refers to the proportion of total private capital flows from abroad/overseas that goes into the agricultural sector per annum, where agriculture entails Crops, Livestock, Fishing, Forestry and Logging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t>Ghana Investment Promotion Centre</w:t>
            </w:r>
            <w:r>
              <w:rPr>
                <w:rFonts w:hint="default"/>
                <w:lang w:val="en-CA"/>
              </w:rPr>
              <w:t xml:space="preserve"> (GIPC) </w:t>
            </w:r>
            <w:r>
              <w:rPr>
                <w:rFonts w:eastAsia="Arial" w:cstheme="minorHAnsi"/>
              </w:rPr>
              <w:t>Annual Report</w:t>
            </w:r>
            <w:r>
              <w:rPr>
                <w:rFonts w:hint="default" w:eastAsia="Arial" w:cstheme="minorHAnsi"/>
                <w:lang w:val="en-CA"/>
              </w:rPr>
              <w:t xml:space="preserve">, </w:t>
            </w:r>
            <w:r>
              <w:rPr>
                <w:rFonts w:eastAsia="Arial" w:cstheme="minorHAnsi"/>
              </w:rPr>
              <w:t xml:space="preserve">2019 </w:t>
            </w: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Investment Promotion Centre</w:t>
            </w:r>
            <w:r>
              <w:rPr>
                <w:rFonts w:hint="default"/>
                <w:lang w:val="en-CA"/>
              </w:rPr>
              <w:t xml:space="preserve"> (GIPC)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The indicator, Percentage of total Foreign Direct Investment that flows into agriculture sector, is calculated by dividing total agricultural foreign direct investment inflows by the overall total foreign direct investment inflows registered.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howcard Gothic">
    <w:panose1 w:val="040209040201020206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7A8C"/>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6F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04533"/>
    <w:rsid w:val="00B137EE"/>
    <w:rsid w:val="00B13CEC"/>
    <w:rsid w:val="00B66AF3"/>
    <w:rsid w:val="00B71AEA"/>
    <w:rsid w:val="00B74489"/>
    <w:rsid w:val="00B8102F"/>
    <w:rsid w:val="00B818CA"/>
    <w:rsid w:val="00B9347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65A0"/>
    <w:rsid w:val="00F54570"/>
    <w:rsid w:val="00F75853"/>
    <w:rsid w:val="00F7784D"/>
    <w:rsid w:val="00F8144F"/>
    <w:rsid w:val="00F8462A"/>
    <w:rsid w:val="00F862A7"/>
    <w:rsid w:val="00F93763"/>
    <w:rsid w:val="00F939A2"/>
    <w:rsid w:val="00F96E8D"/>
    <w:rsid w:val="00FA20D9"/>
    <w:rsid w:val="00FB03D0"/>
    <w:rsid w:val="00FD54D7"/>
    <w:rsid w:val="00FF642D"/>
    <w:rsid w:val="1B870D4C"/>
    <w:rsid w:val="28FC347F"/>
    <w:rsid w:val="2B5933C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2057"/>
    <w:rsid w:val="00296525"/>
    <w:rsid w:val="0036646D"/>
    <w:rsid w:val="006153AA"/>
    <w:rsid w:val="0064052E"/>
    <w:rsid w:val="00705A94"/>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215626</Words>
  <Characters>1229069</Characters>
  <Lines>10242</Lines>
  <Paragraphs>2883</Paragraphs>
  <TotalTime>8</TotalTime>
  <ScaleCrop>false</ScaleCrop>
  <LinksUpToDate>false</LinksUpToDate>
  <CharactersWithSpaces>1441812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2021-10-18T11:20:00Z</dcterms:created>
  <dc:creator>Fanning, Stephen B (JMD)</dc:creator>
  <cp:lastModifiedBy>Doreen</cp:lastModifiedBy>
  <cp:lastPrinted>2020-04-16T14:23:00Z</cp:lastPrinted>
  <dcterms:modified xsi:type="dcterms:W3CDTF">2022-11-08T13:05:48Z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17C8F400C18A4B6491C2481AA395404D</vt:lpwstr>
  </property>
</Properties>
</file>