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60D6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60D6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60D6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60D6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60D6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60D6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60D6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60D6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60D6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60D6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60D6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60D6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60D6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871A7AA" w:rsidR="00355460" w:rsidRPr="00E263EC" w:rsidRDefault="00303D40"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CCBEF9A" w:rsidR="00B66AF3" w:rsidRDefault="00303D40" w:rsidP="00B66AF3">
          <w:r>
            <w:t>15.1.1 Forest area as a proportion of total land area [15.1.1] (AG_LND_FRST)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3450237"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9ACC88B" w:rsidR="0077584C" w:rsidRDefault="00303D40"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7C2A42C" w:rsidR="00F7784D" w:rsidRDefault="00303D40"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FB98EB5"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3729123" w14:textId="59CD0421" w:rsidR="00303D40" w:rsidRPr="00303D40" w:rsidRDefault="00560D6A" w:rsidP="00303D40">
            <w:pPr>
              <w:pStyle w:val="Heading1"/>
              <w:rPr>
                <w:rFonts w:asciiTheme="minorHAnsi" w:hAnsiTheme="minorHAnsi" w:cstheme="minorHAnsi"/>
                <w:color w:val="auto"/>
                <w:sz w:val="22"/>
                <w:szCs w:val="22"/>
              </w:rPr>
            </w:pPr>
            <w:hyperlink r:id="rId21" w:history="1">
              <w:r w:rsidR="00303D40" w:rsidRPr="00303D40">
                <w:rPr>
                  <w:rStyle w:val="hidden-sm"/>
                  <w:rFonts w:asciiTheme="minorHAnsi" w:hAnsiTheme="minorHAnsi" w:cstheme="minorHAnsi"/>
                  <w:color w:val="auto"/>
                  <w:sz w:val="22"/>
                  <w:szCs w:val="22"/>
                </w:rPr>
                <w:t xml:space="preserve">Goal 15: </w:t>
              </w:r>
              <w:r w:rsidR="00303D40" w:rsidRPr="00303D40">
                <w:rPr>
                  <w:rStyle w:val="Hyperlink"/>
                  <w:rFonts w:asciiTheme="minorHAnsi" w:hAnsiTheme="minorHAnsi" w:cstheme="minorHAnsi"/>
                  <w:color w:val="auto"/>
                  <w:sz w:val="22"/>
                  <w:szCs w:val="22"/>
                  <w:u w:val="none"/>
                </w:rPr>
                <w:t>Protect, restore and promote sustainable use of terrestrial ecosystems, sustainably manage forests, combat desertification, and halt and reverse land degradation and halt biodiversity loss</w:t>
              </w:r>
            </w:hyperlink>
            <w:r w:rsidR="006D5302">
              <w:rPr>
                <w:rStyle w:val="Hyperlink"/>
                <w:rFonts w:asciiTheme="minorHAnsi" w:hAnsiTheme="minorHAnsi" w:cstheme="minorHAnsi"/>
                <w:color w:val="auto"/>
                <w:sz w:val="22"/>
                <w:szCs w:val="22"/>
                <w:u w:val="none"/>
              </w:rPr>
              <w:t xml:space="preserve"> life on land.</w:t>
            </w:r>
          </w:p>
          <w:p w14:paraId="2BCB6249" w14:textId="77777777" w:rsidR="005377B9" w:rsidRPr="00303D40" w:rsidRDefault="005377B9" w:rsidP="009F305C">
            <w:pPr>
              <w:rPr>
                <w:rFonts w:cstheme="minorHAnsi"/>
              </w:rPr>
            </w:p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10C13B2"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b/>
                <w:bCs/>
              </w:rPr>
              <w:t xml:space="preserve">Target 15.1: </w:t>
            </w:r>
            <w:r w:rsidRPr="006D5302">
              <w:rPr>
                <w:rFonts w:cstheme="minorHAnsi"/>
              </w:rPr>
              <w:t>By 2030, ensure the conservation, restoration and sustainable use of terrestrial and</w:t>
            </w:r>
          </w:p>
          <w:p w14:paraId="475C541A"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inland freshwater ecosystems and their services, in particular forests, wetlands, mountains and dry</w:t>
            </w:r>
          </w:p>
          <w:p w14:paraId="5C7BE35B" w14:textId="3C134B61" w:rsidR="005377B9" w:rsidRPr="009F305C" w:rsidRDefault="006D5302" w:rsidP="006D5302">
            <w:r w:rsidRPr="006D5302">
              <w:rPr>
                <w:rFonts w:cstheme="minorHAnsi"/>
              </w:rPr>
              <w:t>lands, in line with obligations under international agreements.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DC3535A" w14:textId="77777777" w:rsidR="00303D40" w:rsidRPr="00303D40" w:rsidRDefault="00303D40" w:rsidP="00303D40">
            <w:pPr>
              <w:pStyle w:val="Heading2"/>
              <w:rPr>
                <w:rFonts w:asciiTheme="minorHAnsi" w:hAnsiTheme="minorHAnsi" w:cstheme="minorHAnsi"/>
                <w:color w:val="auto"/>
                <w:sz w:val="22"/>
                <w:szCs w:val="22"/>
              </w:rPr>
            </w:pPr>
            <w:r w:rsidRPr="00303D40">
              <w:rPr>
                <w:rFonts w:asciiTheme="minorHAnsi" w:hAnsiTheme="minorHAnsi" w:cstheme="minorHAnsi"/>
                <w:color w:val="auto"/>
                <w:sz w:val="22"/>
                <w:szCs w:val="22"/>
              </w:rPr>
              <w:t>Indicator 15.1.1: Forest area as a proportion of total land area</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974A34A" w:rsidR="003E7389" w:rsidRPr="006D5302" w:rsidRDefault="006D5302" w:rsidP="009F305C">
            <w:pPr>
              <w:rPr>
                <w:rFonts w:cstheme="minorHAnsi"/>
              </w:rPr>
            </w:pPr>
            <w:r w:rsidRPr="006D5302">
              <w:rPr>
                <w:rFonts w:cstheme="minorHAnsi"/>
              </w:rPr>
              <w:t>Forestry Commission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8C7D659" w:rsidR="003E7389" w:rsidRPr="006D5302" w:rsidRDefault="006D5302" w:rsidP="009F305C">
            <w:pPr>
              <w:rPr>
                <w:rFonts w:cstheme="minorHAnsi"/>
              </w:rPr>
            </w:pPr>
            <w:r w:rsidRPr="006D5302">
              <w:rPr>
                <w:rFonts w:cstheme="minorHAnsi"/>
              </w:rPr>
              <w:t>District Forestry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9D0EC37" w14:textId="77777777" w:rsidR="006D5302" w:rsidRPr="00560D6A" w:rsidRDefault="006D5302" w:rsidP="006D5302">
            <w:pPr>
              <w:autoSpaceDE w:val="0"/>
              <w:autoSpaceDN w:val="0"/>
              <w:adjustRightInd w:val="0"/>
              <w:spacing w:after="0" w:line="240" w:lineRule="auto"/>
              <w:rPr>
                <w:rFonts w:cstheme="minorHAnsi"/>
                <w:b/>
                <w:bCs/>
              </w:rPr>
            </w:pPr>
            <w:r w:rsidRPr="00560D6A">
              <w:rPr>
                <w:rFonts w:cstheme="minorHAnsi"/>
                <w:b/>
                <w:bCs/>
              </w:rPr>
              <w:t>Definition:</w:t>
            </w:r>
          </w:p>
          <w:p w14:paraId="7F02B2FF"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The indicator measures forest area as a proportion of total land area</w:t>
            </w:r>
          </w:p>
          <w:p w14:paraId="2599E99C" w14:textId="77777777" w:rsidR="006D5302" w:rsidRPr="00560D6A" w:rsidRDefault="006D5302" w:rsidP="006D5302">
            <w:pPr>
              <w:autoSpaceDE w:val="0"/>
              <w:autoSpaceDN w:val="0"/>
              <w:adjustRightInd w:val="0"/>
              <w:spacing w:after="0" w:line="240" w:lineRule="auto"/>
              <w:rPr>
                <w:rFonts w:cstheme="minorHAnsi"/>
                <w:b/>
                <w:bCs/>
              </w:rPr>
            </w:pPr>
            <w:r w:rsidRPr="00560D6A">
              <w:rPr>
                <w:rFonts w:cstheme="minorHAnsi"/>
                <w:b/>
                <w:bCs/>
              </w:rPr>
              <w:t>Concepts:</w:t>
            </w:r>
          </w:p>
          <w:p w14:paraId="1CA3BAA6"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In order to provide a precise definition of the indicator, it is crucial to provide a definition of</w:t>
            </w:r>
          </w:p>
          <w:p w14:paraId="503C35E4"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“Forest” and “Total Land Area”.</w:t>
            </w:r>
          </w:p>
          <w:p w14:paraId="30EC3F86"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According to the FAO definitions, Forest is defined as: “land spanning more than 0.5 hectares with</w:t>
            </w:r>
          </w:p>
          <w:p w14:paraId="724DCD65"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trees higher than 5 meters and a canopy cover of more than 10 percent, or trees able to reach these</w:t>
            </w:r>
          </w:p>
          <w:p w14:paraId="2DCD941A"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thresholds in situ. It does not include land that is predominantly under agricultural or urban land</w:t>
            </w:r>
          </w:p>
          <w:p w14:paraId="42B77F63"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use”. More specifically:</w:t>
            </w:r>
          </w:p>
          <w:p w14:paraId="149EDFEB"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Forest is determined both by the presence of trees and the absence of other predominant land uses.</w:t>
            </w:r>
          </w:p>
          <w:p w14:paraId="2E0103E1"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The trees should be able to reach a minimum height of 5 meters.</w:t>
            </w:r>
          </w:p>
          <w:p w14:paraId="77FE897B"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It includes areas with young trees that have not yet reached but which are expected to reach a</w:t>
            </w:r>
          </w:p>
          <w:p w14:paraId="7AED1D1B"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canopy cover of at least 10 percent and tree height of 5 meters or more. It also includes areas</w:t>
            </w:r>
          </w:p>
          <w:p w14:paraId="75828486"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that are temporarily unstocked due to clear-cutting as part of a forest management practice or</w:t>
            </w:r>
          </w:p>
          <w:p w14:paraId="2B23024A"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natural disasters, and which are expected to be regenerated within 5 years. Local conditions may,</w:t>
            </w:r>
          </w:p>
          <w:p w14:paraId="791BA33A"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in exceptional cases, justify that a longer time frame is used.</w:t>
            </w:r>
          </w:p>
          <w:p w14:paraId="3451D9D0"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It includes forest roads, firebreaks and other small open areas; forest in national parks, nature</w:t>
            </w:r>
          </w:p>
          <w:p w14:paraId="431DD036"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reserves and other protected areas such as those of specific environmental, scientific, historical,</w:t>
            </w:r>
          </w:p>
          <w:p w14:paraId="69C984AD"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cultural or spiritual interest.</w:t>
            </w:r>
          </w:p>
          <w:p w14:paraId="72F3D19D"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It includes windbreaks, shelterbelts and corridors of trees with an area of more than 0.5 hectares</w:t>
            </w:r>
          </w:p>
          <w:p w14:paraId="63F50350" w14:textId="77777777" w:rsidR="0015178E" w:rsidRPr="00560D6A" w:rsidRDefault="006D5302" w:rsidP="006D5302">
            <w:pPr>
              <w:rPr>
                <w:rFonts w:cstheme="minorHAnsi"/>
              </w:rPr>
            </w:pPr>
            <w:r w:rsidRPr="00560D6A">
              <w:rPr>
                <w:rFonts w:cstheme="minorHAnsi"/>
              </w:rPr>
              <w:t>and width of more than 20 meters.</w:t>
            </w:r>
          </w:p>
          <w:p w14:paraId="6939AA6C"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It includes abandoned shifting cultivation land with a regeneration of trees that have, or are expected</w:t>
            </w:r>
          </w:p>
          <w:p w14:paraId="644BDD5B"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to reach, a canopy cover of at least 10 percent and tree height of at least 5 meters.</w:t>
            </w:r>
          </w:p>
          <w:p w14:paraId="4D77CA05"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It includes areas with mangroves in tidal zones, regardless whether this area is classified as land</w:t>
            </w:r>
          </w:p>
          <w:p w14:paraId="078DF31E"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area or not.</w:t>
            </w:r>
          </w:p>
          <w:p w14:paraId="6BB47C72"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It includes rubber wood, cork oak and Christmas tree plantations.</w:t>
            </w:r>
          </w:p>
          <w:p w14:paraId="06170440"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It includes areas with bamboo and palms provided that land use, height and canopy cover criteria</w:t>
            </w:r>
          </w:p>
          <w:p w14:paraId="3C0AAED7"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are met.</w:t>
            </w:r>
          </w:p>
          <w:p w14:paraId="00E252AA"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It excludes tree stands in agricultural production systems, such as fruit tree plantations, oil palm</w:t>
            </w:r>
          </w:p>
          <w:p w14:paraId="0589EE19"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plantations, olive orchards and agroforestry systems when crops are grown under tree cover. Note:</w:t>
            </w:r>
          </w:p>
          <w:p w14:paraId="177FDA40"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Some agroforestry systems such as the “</w:t>
            </w:r>
            <w:proofErr w:type="spellStart"/>
            <w:r w:rsidRPr="00560D6A">
              <w:rPr>
                <w:rFonts w:cstheme="minorHAnsi"/>
              </w:rPr>
              <w:t>Taungya</w:t>
            </w:r>
            <w:proofErr w:type="spellEnd"/>
            <w:r w:rsidRPr="00560D6A">
              <w:rPr>
                <w:rFonts w:cstheme="minorHAnsi"/>
              </w:rPr>
              <w:t>” system where crops are grown only during the</w:t>
            </w:r>
          </w:p>
          <w:p w14:paraId="1EE48BD2"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first years of the forest rotation should be classified as forest</w:t>
            </w:r>
          </w:p>
          <w:p w14:paraId="40D4C532"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Total land area is the total surface area of a country less the area covered by inland waters, like</w:t>
            </w:r>
          </w:p>
          <w:p w14:paraId="6C84E827" w14:textId="3D9DED46" w:rsidR="006D5302" w:rsidRPr="009F305C" w:rsidRDefault="006D5302" w:rsidP="006D5302">
            <w:r w:rsidRPr="00560D6A">
              <w:rPr>
                <w:rFonts w:cstheme="minorHAnsi"/>
              </w:rPr>
              <w:t>major rivers and lakes.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BC435C8"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The data source is administrative data, specifically total land sizes and forest sizes collected from</w:t>
            </w:r>
          </w:p>
          <w:p w14:paraId="2150064F"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Forestry Commission and GSS. This information at MMDA level is harnessed by the Planning unit</w:t>
            </w:r>
          </w:p>
          <w:p w14:paraId="571CD33E" w14:textId="160ED793" w:rsidR="0035311B" w:rsidRPr="009F305C" w:rsidRDefault="006D5302" w:rsidP="006D5302">
            <w:r w:rsidRPr="00560D6A">
              <w:rPr>
                <w:rFonts w:cstheme="minorHAnsi"/>
              </w:rPr>
              <w:t>of the Assembly.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73F155C"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For comparability across MMDAs, a standardized data collection template should be developed</w:t>
            </w:r>
          </w:p>
          <w:p w14:paraId="5A2332E0" w14:textId="77777777" w:rsidR="006D5302" w:rsidRPr="00560D6A" w:rsidRDefault="006D5302" w:rsidP="006D5302">
            <w:pPr>
              <w:autoSpaceDE w:val="0"/>
              <w:autoSpaceDN w:val="0"/>
              <w:adjustRightInd w:val="0"/>
              <w:spacing w:after="0" w:line="240" w:lineRule="auto"/>
              <w:rPr>
                <w:rFonts w:cstheme="minorHAnsi"/>
              </w:rPr>
            </w:pPr>
            <w:r w:rsidRPr="00560D6A">
              <w:rPr>
                <w:rFonts w:cstheme="minorHAnsi"/>
              </w:rPr>
              <w:t>by the MMDAs and administered to the Forestry Commission to complete with the relevant</w:t>
            </w:r>
          </w:p>
          <w:p w14:paraId="60E54013" w14:textId="1363AE05" w:rsidR="0035311B" w:rsidRPr="009F305C" w:rsidRDefault="006D5302" w:rsidP="006D5302">
            <w:r w:rsidRPr="00560D6A">
              <w:rPr>
                <w:rFonts w:cstheme="minorHAnsi"/>
              </w:rPr>
              <w:t>information. The data collection instrument should collect information on the size of forest area.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746F5CF"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Forests fulfil a number of functions that are vital for humanity, including the provision of goods</w:t>
            </w:r>
          </w:p>
          <w:p w14:paraId="3850D22D"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w:t>
            </w:r>
            <w:proofErr w:type="gramStart"/>
            <w:r w:rsidRPr="006D5302">
              <w:rPr>
                <w:rFonts w:cstheme="minorHAnsi"/>
              </w:rPr>
              <w:t>wood</w:t>
            </w:r>
            <w:proofErr w:type="gramEnd"/>
            <w:r w:rsidRPr="006D5302">
              <w:rPr>
                <w:rFonts w:cstheme="minorHAnsi"/>
              </w:rPr>
              <w:t xml:space="preserve"> and non-wood forest products) and services such as habitat for biodiversity, carbon</w:t>
            </w:r>
          </w:p>
          <w:p w14:paraId="0F9BE93C"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sequestration, coastal protection and soil and water conservation.</w:t>
            </w:r>
          </w:p>
          <w:p w14:paraId="6B4F50F3"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 xml:space="preserve">The indicator provides a measure of the relative extent of forest in the </w:t>
            </w:r>
            <w:proofErr w:type="gramStart"/>
            <w:r w:rsidRPr="006D5302">
              <w:rPr>
                <w:rFonts w:cstheme="minorHAnsi"/>
              </w:rPr>
              <w:t>District</w:t>
            </w:r>
            <w:proofErr w:type="gramEnd"/>
            <w:r w:rsidRPr="006D5302">
              <w:rPr>
                <w:rFonts w:cstheme="minorHAnsi"/>
              </w:rPr>
              <w:t>. The availability of</w:t>
            </w:r>
          </w:p>
          <w:p w14:paraId="5CE17648"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accurate data on a district forest area is a key element for forest policy and planning within the</w:t>
            </w:r>
          </w:p>
          <w:p w14:paraId="508399AC"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context of sustainable development.</w:t>
            </w:r>
          </w:p>
          <w:p w14:paraId="63AB3C71"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Changes in forest area reflect the demand for land for other uses and may help identify unsustainable</w:t>
            </w:r>
          </w:p>
          <w:p w14:paraId="2E3517AC" w14:textId="3B3A968A" w:rsidR="007F2D9F" w:rsidRPr="006D5302" w:rsidRDefault="006D5302" w:rsidP="006D5302">
            <w:pPr>
              <w:rPr>
                <w:rFonts w:cstheme="minorHAnsi"/>
              </w:rPr>
            </w:pPr>
            <w:r w:rsidRPr="006D5302">
              <w:rPr>
                <w:rFonts w:cstheme="minorHAnsi"/>
              </w:rPr>
              <w:t>practices in the forestry and agricultural sector.</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E16D3F2"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Assessment of forest area is carried out at infrequent intervals in many countries. Access to remote</w:t>
            </w:r>
          </w:p>
          <w:p w14:paraId="5CCDBA43"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sensing imagery has improved in recent years, but remote sensing techniques have limitations</w:t>
            </w:r>
          </w:p>
          <w:p w14:paraId="5B6F83E4"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In particular there are limitations to assess land use (remote sensing primarily assesses land cover),</w:t>
            </w:r>
          </w:p>
          <w:p w14:paraId="60239CB7"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and some slow changes such as forest regrowth cannot easily be observed with remote sensing</w:t>
            </w:r>
          </w:p>
          <w:p w14:paraId="513FFEFB"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techniques and require long time periods in order to detect. In addition, forest area with low canopy</w:t>
            </w:r>
          </w:p>
          <w:p w14:paraId="1F25CF9B"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cover density</w:t>
            </w:r>
          </w:p>
          <w:p w14:paraId="089A40C8"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Data collection at the MMDAs Forestry Commission Secretariats may take a relatively long time in</w:t>
            </w:r>
          </w:p>
          <w:p w14:paraId="48EF8537" w14:textId="20B3F979" w:rsidR="007F2D9F" w:rsidRPr="009F305C" w:rsidRDefault="006D5302" w:rsidP="006D5302">
            <w:r w:rsidRPr="006D5302">
              <w:rPr>
                <w:rFonts w:cstheme="minorHAnsi"/>
              </w:rPr>
              <w:t>view of the fact that data on forests may not be digitized.</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730BDBE" w14:textId="77777777" w:rsidR="006D5302" w:rsidRPr="006D5302" w:rsidRDefault="006D5302" w:rsidP="006D5302">
            <w:pPr>
              <w:autoSpaceDE w:val="0"/>
              <w:autoSpaceDN w:val="0"/>
              <w:adjustRightInd w:val="0"/>
              <w:spacing w:after="0" w:line="240" w:lineRule="auto"/>
              <w:rPr>
                <w:rFonts w:cstheme="minorHAnsi"/>
                <w:b/>
                <w:bCs/>
              </w:rPr>
            </w:pPr>
            <w:r w:rsidRPr="006D5302">
              <w:rPr>
                <w:rFonts w:cstheme="minorHAnsi"/>
                <w:b/>
                <w:bCs/>
              </w:rPr>
              <w:t>Method of computation:</w:t>
            </w:r>
          </w:p>
          <w:p w14:paraId="23EC108B"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The proposed computation would be:</w:t>
            </w:r>
          </w:p>
          <w:p w14:paraId="662CD5E6" w14:textId="77777777" w:rsidR="007F2D9F" w:rsidRPr="006D5302" w:rsidRDefault="006D5302" w:rsidP="006D5302">
            <w:pPr>
              <w:rPr>
                <w:rFonts w:cstheme="minorHAnsi"/>
              </w:rPr>
            </w:pPr>
            <w:r w:rsidRPr="006D5302">
              <w:rPr>
                <w:rFonts w:cstheme="minorHAnsi"/>
              </w:rPr>
              <w:t>Forest Area as a Proportion of Land Area</w:t>
            </w:r>
            <w:r w:rsidRPr="006D5302">
              <w:rPr>
                <w:rFonts w:cstheme="minorHAnsi"/>
              </w:rPr>
              <w:t>=</w:t>
            </w:r>
            <w:r w:rsidRPr="006D5302">
              <w:rPr>
                <w:rFonts w:cstheme="minorHAnsi"/>
                <w:noProof/>
              </w:rPr>
              <w:drawing>
                <wp:inline distT="0" distB="0" distL="0" distR="0" wp14:anchorId="04030F8A" wp14:editId="4449F8B6">
                  <wp:extent cx="1133475" cy="4381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1133475" cy="438150"/>
                          </a:xfrm>
                          <a:prstGeom prst="rect">
                            <a:avLst/>
                          </a:prstGeom>
                          <a:noFill/>
                          <a:ln>
                            <a:noFill/>
                          </a:ln>
                        </pic:spPr>
                      </pic:pic>
                    </a:graphicData>
                  </a:graphic>
                </wp:inline>
              </w:drawing>
            </w:r>
          </w:p>
          <w:p w14:paraId="5A53B8A7" w14:textId="2A49A432" w:rsidR="006D5302" w:rsidRPr="009F305C" w:rsidRDefault="006D5302" w:rsidP="006D5302"/>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D8D0DD4"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Rigorous review processes are undertaken to ensure correct use of definitions and methodology as</w:t>
            </w:r>
          </w:p>
          <w:p w14:paraId="49CC4A3F" w14:textId="6758530F" w:rsidR="007F2D9F" w:rsidRPr="009F305C" w:rsidRDefault="006D5302" w:rsidP="006D5302">
            <w:r w:rsidRPr="006D5302">
              <w:rPr>
                <w:rFonts w:cstheme="minorHAnsi"/>
              </w:rPr>
              <w:t>well as internal consistency.</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3E0BC4B" w14:textId="77777777" w:rsidR="006D5302" w:rsidRPr="006D5302" w:rsidRDefault="006D5302" w:rsidP="006D5302">
            <w:pPr>
              <w:autoSpaceDE w:val="0"/>
              <w:autoSpaceDN w:val="0"/>
              <w:adjustRightInd w:val="0"/>
              <w:spacing w:after="0" w:line="240" w:lineRule="auto"/>
              <w:rPr>
                <w:rFonts w:cstheme="minorHAnsi"/>
                <w:b/>
                <w:bCs/>
              </w:rPr>
            </w:pPr>
            <w:r w:rsidRPr="006D5302">
              <w:rPr>
                <w:rFonts w:cstheme="minorHAnsi"/>
                <w:b/>
                <w:bCs/>
              </w:rPr>
              <w:t>Data availability and gaps:</w:t>
            </w:r>
          </w:p>
          <w:p w14:paraId="6FA45A17"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Administrative data are routinely produced by Forestry Commission.</w:t>
            </w:r>
          </w:p>
          <w:p w14:paraId="0F212430" w14:textId="77777777" w:rsidR="006D5302" w:rsidRPr="006D5302" w:rsidRDefault="006D5302" w:rsidP="006D5302">
            <w:pPr>
              <w:autoSpaceDE w:val="0"/>
              <w:autoSpaceDN w:val="0"/>
              <w:adjustRightInd w:val="0"/>
              <w:spacing w:after="0" w:line="240" w:lineRule="auto"/>
              <w:rPr>
                <w:rFonts w:cstheme="minorHAnsi"/>
                <w:b/>
                <w:bCs/>
              </w:rPr>
            </w:pPr>
            <w:r w:rsidRPr="006D5302">
              <w:rPr>
                <w:rFonts w:cstheme="minorHAnsi"/>
                <w:b/>
                <w:bCs/>
              </w:rPr>
              <w:t>Disaggregation:</w:t>
            </w:r>
          </w:p>
          <w:p w14:paraId="39185D77" w14:textId="0575F46C" w:rsidR="00776312" w:rsidRPr="009F305C" w:rsidRDefault="006D5302" w:rsidP="006D5302">
            <w:r w:rsidRPr="006D5302">
              <w:rPr>
                <w:rFonts w:cstheme="minorHAnsi"/>
              </w:rPr>
              <w:t>No further disaggregation of this indicator</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158319A" w:rsidR="006A7EF1" w:rsidRPr="006D5302" w:rsidRDefault="006D5302" w:rsidP="009F305C">
            <w:pPr>
              <w:rPr>
                <w:rFonts w:cstheme="minorHAnsi"/>
              </w:rPr>
            </w:pPr>
            <w:r w:rsidRPr="006D5302">
              <w:rPr>
                <w:rFonts w:cstheme="minorHAnsi"/>
              </w:rPr>
              <w:t>Internationally comparable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DF741A0" w14:textId="77777777" w:rsidR="006D5302" w:rsidRPr="006D5302" w:rsidRDefault="006D5302" w:rsidP="006D5302">
            <w:pPr>
              <w:autoSpaceDE w:val="0"/>
              <w:autoSpaceDN w:val="0"/>
              <w:adjustRightInd w:val="0"/>
              <w:spacing w:after="0" w:line="240" w:lineRule="auto"/>
              <w:rPr>
                <w:rFonts w:cstheme="minorHAnsi"/>
                <w:b/>
                <w:bCs/>
              </w:rPr>
            </w:pPr>
            <w:r w:rsidRPr="006D5302">
              <w:rPr>
                <w:rFonts w:cstheme="minorHAnsi"/>
                <w:b/>
                <w:bCs/>
              </w:rPr>
              <w:t>URL:</w:t>
            </w:r>
          </w:p>
          <w:p w14:paraId="719D70E3"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http://www.fao.org/forest-resources-assessment/en/</w:t>
            </w:r>
          </w:p>
          <w:p w14:paraId="4000A588" w14:textId="77777777" w:rsidR="006D5302" w:rsidRPr="006D5302" w:rsidRDefault="006D5302" w:rsidP="006D5302">
            <w:pPr>
              <w:autoSpaceDE w:val="0"/>
              <w:autoSpaceDN w:val="0"/>
              <w:adjustRightInd w:val="0"/>
              <w:spacing w:after="0" w:line="240" w:lineRule="auto"/>
              <w:rPr>
                <w:rFonts w:cstheme="minorHAnsi"/>
              </w:rPr>
            </w:pPr>
            <w:r w:rsidRPr="006D5302">
              <w:rPr>
                <w:rFonts w:cstheme="minorHAnsi"/>
              </w:rPr>
              <w:t>http://www.fao.org/forest-resources-assessment/current-assessment/en/</w:t>
            </w:r>
          </w:p>
          <w:p w14:paraId="127FB56F" w14:textId="73DB2FFD" w:rsidR="006F104C" w:rsidRPr="009F305C" w:rsidRDefault="006D5302" w:rsidP="006D5302">
            <w:r w:rsidRPr="006D5302">
              <w:rPr>
                <w:rFonts w:cstheme="minorHAnsi"/>
              </w:rPr>
              <w:t>“Guide for country reporting for FRA 2015”, http://www.fao.org/3/a-au190e.pdf.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3D40"/>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D6A"/>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D5302"/>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303D40"/>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6180409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96120191">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sustainabledevelopment-ghana.github.io/life-on-land"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image" Target="media/image5.emf"/><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3C576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20</TotalTime>
  <Pages>13</Pages>
  <Words>216181</Words>
  <Characters>1232237</Characters>
  <Application>Microsoft Office Word</Application>
  <DocSecurity>8</DocSecurity>
  <Lines>10268</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1445527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2021-10-18T15:27:00Z</dcterms:created>
  <dcterms:modified xsi:type="dcterms:W3CDTF">2021-10-19T15:36:00Z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