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424C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424C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424C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424C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424C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424C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424C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424C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424C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424C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424C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424C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424C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3409C7F" w:rsidR="00355460" w:rsidRPr="00E263EC" w:rsidRDefault="008F1C82"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F50F613" w:rsidR="00B66AF3" w:rsidRDefault="008F1C82"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8F633D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911B802" w:rsidR="0077584C" w:rsidRDefault="008F1C82"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3B29445" w:rsidR="00F7784D" w:rsidRDefault="008F1C82"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E71071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6E5E881" w14:textId="77777777" w:rsidR="008F1C82" w:rsidRDefault="008F1C82" w:rsidP="008F1C82">
            <w:pPr>
              <w:shd w:val="clear" w:color="auto" w:fill="F5F5F5"/>
              <w:spacing w:after="0"/>
              <w:outlineLvl w:val="4"/>
              <w:rPr>
                <w:rFonts w:eastAsia="Times New Roman" w:cs="Times New Roman"/>
                <w:color w:val="333333"/>
                <w:sz w:val="21"/>
                <w:szCs w:val="21"/>
                <w:lang w:eastAsia="en-GB"/>
              </w:rPr>
            </w:pPr>
            <w:r>
              <w:rPr>
                <w:rFonts w:eastAsia="Times New Roman" w:cs="Times New Roman"/>
                <w:color w:val="333333"/>
                <w:sz w:val="21"/>
                <w:szCs w:val="21"/>
                <w:lang w:eastAsia="en-GB"/>
              </w:rPr>
              <w:t>Goal 16: Promote peaceful and inclusive societies for sustainable development, provide access to justice for all and build effective, accountable and inclusive institutions at all levels</w:t>
            </w:r>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D8BE4C7" w:rsidR="005377B9" w:rsidRPr="009F305C" w:rsidRDefault="008F1C82" w:rsidP="009F305C">
            <w:r>
              <w:rPr>
                <w:rFonts w:eastAsia="Times New Roman" w:cs="Times New Roman"/>
                <w:color w:val="333333"/>
                <w:sz w:val="21"/>
                <w:szCs w:val="21"/>
                <w:lang w:eastAsia="en-GB"/>
              </w:rPr>
              <w:t>Target 16.1: Significantly reduce all forms of violence and related death rates everywhere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52EBDFD" w14:textId="77777777" w:rsidR="008F1C82" w:rsidRDefault="008F1C82" w:rsidP="008F1C82">
            <w:pPr>
              <w:shd w:val="clear" w:color="auto" w:fill="F5F5F5"/>
              <w:spacing w:after="0"/>
              <w:outlineLvl w:val="1"/>
              <w:rPr>
                <w:rFonts w:eastAsia="Times New Roman" w:cs="Times New Roman"/>
                <w:color w:val="1C75BC"/>
                <w:lang w:eastAsia="en-GB"/>
              </w:rPr>
            </w:pPr>
            <w:r>
              <w:rPr>
                <w:rFonts w:eastAsia="Times New Roman" w:cs="Times New Roman"/>
                <w:color w:val="1C75BC"/>
                <w:lang w:eastAsia="en-GB"/>
              </w:rPr>
              <w:t>Indicator 16.1.3: Proportion of population subjected to physical, psychological or sexual violence in the previous 12 months</w:t>
            </w:r>
          </w:p>
          <w:p w14:paraId="7D3B7523" w14:textId="77777777" w:rsidR="008F1C82" w:rsidRDefault="008F1C82" w:rsidP="008F1C82">
            <w:pPr>
              <w:pBdr>
                <w:bottom w:val="single" w:sz="12" w:space="4" w:color="DDDDDD"/>
              </w:pBdr>
              <w:shd w:val="clear" w:color="auto" w:fill="FFFFFF"/>
              <w:spacing w:after="0"/>
              <w:outlineLvl w:val="2"/>
              <w:rPr>
                <w:rFonts w:eastAsia="Times New Roman" w:cs="Times New Roman"/>
                <w:color w:val="1C75BC"/>
                <w:sz w:val="36"/>
                <w:szCs w:val="36"/>
                <w:lang w:eastAsia="en-GB"/>
              </w:rPr>
            </w:pP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87DB806" w14:textId="77777777" w:rsidR="00D424C1" w:rsidRDefault="00D424C1" w:rsidP="00D424C1">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16.2, 16.3, 16.a, 5.2</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26746F2"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United Nations Office on Drugs and Crime (UNODC)</w:t>
            </w:r>
          </w:p>
          <w:p w14:paraId="0F197DD2" w14:textId="77777777" w:rsidR="008F1C82" w:rsidRDefault="008F1C82" w:rsidP="008F1C82">
            <w:pPr>
              <w:shd w:val="clear" w:color="auto" w:fill="FFFFFF"/>
              <w:spacing w:after="0"/>
              <w:rPr>
                <w:rFonts w:eastAsia="Times New Roman" w:cs="Times New Roman"/>
                <w:color w:val="4A4A4A"/>
                <w:sz w:val="21"/>
                <w:szCs w:val="21"/>
                <w:lang w:eastAsia="en-GB"/>
              </w:rPr>
            </w:pP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9944F28" w14:textId="77777777" w:rsidR="00D424C1" w:rsidRDefault="00D424C1" w:rsidP="009F305C">
            <w:pPr>
              <w:rPr>
                <w:rFonts w:cstheme="minorHAnsi"/>
                <w:color w:val="262626"/>
              </w:rPr>
            </w:pPr>
            <w:r>
              <w:rPr>
                <w:rFonts w:cstheme="minorHAnsi"/>
                <w:color w:val="262626"/>
              </w:rPr>
              <w:t>I</w:t>
            </w:r>
            <w:r w:rsidRPr="008F1C82">
              <w:rPr>
                <w:rFonts w:cstheme="minorHAnsi"/>
                <w:color w:val="262626"/>
              </w:rPr>
              <w:t>nstitute of Development Studies</w:t>
            </w:r>
          </w:p>
          <w:p w14:paraId="593AFFAB" w14:textId="54F716A1" w:rsidR="003E7389" w:rsidRPr="009F305C" w:rsidRDefault="00D424C1" w:rsidP="009F305C">
            <w:r w:rsidRPr="008F1C82">
              <w:rPr>
                <w:rFonts w:cstheme="minorHAnsi"/>
                <w:color w:val="262626"/>
              </w:rPr>
              <w:t>G</w:t>
            </w:r>
            <w:r>
              <w:rPr>
                <w:rFonts w:cstheme="minorHAnsi"/>
                <w:color w:val="262626"/>
              </w:rPr>
              <w:t xml:space="preserve">hana </w:t>
            </w:r>
            <w:r w:rsidRPr="008F1C82">
              <w:rPr>
                <w:rFonts w:cstheme="minorHAnsi"/>
                <w:color w:val="262626"/>
              </w:rPr>
              <w:t>S</w:t>
            </w:r>
            <w:r>
              <w:rPr>
                <w:rFonts w:cstheme="minorHAnsi"/>
                <w:color w:val="262626"/>
              </w:rPr>
              <w:t xml:space="preserve">tatistical </w:t>
            </w:r>
            <w:r w:rsidRPr="008F1C82">
              <w:rPr>
                <w:rFonts w:cstheme="minorHAnsi"/>
                <w:color w:val="262626"/>
              </w:rPr>
              <w:t>S</w:t>
            </w:r>
            <w:r>
              <w:rPr>
                <w:rFonts w:cstheme="minorHAnsi"/>
                <w:color w:val="262626"/>
              </w:rPr>
              <w:t>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A850CA2"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Definition:</w:t>
            </w:r>
          </w:p>
          <w:p w14:paraId="7D42555A" w14:textId="77777777" w:rsidR="008F1C82" w:rsidRDefault="008F1C82" w:rsidP="008F1C82">
            <w:pPr>
              <w:shd w:val="clear" w:color="auto" w:fill="FFFFFF"/>
              <w:spacing w:after="0"/>
              <w:rPr>
                <w:rFonts w:eastAsia="Times New Roman" w:cs="Times New Roman"/>
                <w:color w:val="4A4A4A"/>
                <w:sz w:val="21"/>
                <w:szCs w:val="21"/>
                <w:lang w:eastAsia="en-GB"/>
              </w:rPr>
            </w:pPr>
          </w:p>
          <w:p w14:paraId="74D147DE"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lastRenderedPageBreak/>
              <w:t>The total number of persons who have been victim of physical, psychological or sexual violence in the previous 12 months, as a share of the total population.</w:t>
            </w:r>
          </w:p>
          <w:p w14:paraId="1BBEF853"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b/>
                <w:bCs/>
                <w:color w:val="4A4A4A"/>
                <w:sz w:val="21"/>
                <w:szCs w:val="21"/>
                <w:lang w:eastAsia="en-GB"/>
              </w:rPr>
              <w:t>Concepts:</w:t>
            </w:r>
          </w:p>
          <w:p w14:paraId="0849588E" w14:textId="77777777" w:rsidR="008F1C82" w:rsidRDefault="008F1C82" w:rsidP="008F1C82">
            <w:pPr>
              <w:shd w:val="clear" w:color="auto" w:fill="FFFFFF"/>
              <w:spacing w:after="0"/>
              <w:rPr>
                <w:rFonts w:eastAsia="Times New Roman" w:cs="Times New Roman"/>
                <w:color w:val="4A4A4A"/>
                <w:sz w:val="21"/>
                <w:szCs w:val="21"/>
                <w:lang w:eastAsia="en-GB"/>
              </w:rPr>
            </w:pPr>
          </w:p>
          <w:p w14:paraId="00D6EF3F"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This indicator measures the prevalence of victimization from physical, psychological or sexual violence</w:t>
            </w:r>
          </w:p>
          <w:p w14:paraId="50A4E514" w14:textId="77777777" w:rsidR="008F1C82" w:rsidRDefault="008F1C82" w:rsidP="008F1C82">
            <w:pPr>
              <w:shd w:val="clear" w:color="auto" w:fill="FFFFFF"/>
              <w:spacing w:after="0"/>
              <w:rPr>
                <w:rFonts w:eastAsia="Times New Roman" w:cs="Times New Roman"/>
                <w:color w:val="4A4A4A"/>
                <w:sz w:val="21"/>
                <w:szCs w:val="21"/>
                <w:lang w:eastAsia="en-GB"/>
              </w:rPr>
            </w:pPr>
          </w:p>
          <w:p w14:paraId="60F51C03"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Physical violence: This concept is equivalent to the concept of physical assault, as defined in the International Classification of Crime for Statistical Purposes (ICCS): the intentional or reckless application of physical force inflicted upon the body of a person. This includes serious and minor bodily injuries and serious and minor physical force. According to the ICCS, these are defined as:</w:t>
            </w:r>
          </w:p>
          <w:p w14:paraId="36408C09" w14:textId="77777777" w:rsidR="008F1C82" w:rsidRDefault="008F1C82" w:rsidP="008F1C82">
            <w:pPr>
              <w:shd w:val="clear" w:color="auto" w:fill="FFFFFF"/>
              <w:spacing w:after="0"/>
              <w:rPr>
                <w:rFonts w:eastAsia="Times New Roman" w:cs="Times New Roman"/>
                <w:color w:val="4A4A4A"/>
                <w:sz w:val="21"/>
                <w:szCs w:val="21"/>
                <w:lang w:eastAsia="en-GB"/>
              </w:rPr>
            </w:pPr>
          </w:p>
          <w:p w14:paraId="65491327"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Serious bodily injury, at minimum, includes gunshot or bullet wounds; knife or stab wounds; severed limbs; broken bones or teeth knocked out; internal injuries; being knocked unconscious; and other severe or critical injuries.</w:t>
            </w:r>
          </w:p>
          <w:p w14:paraId="3F70AFDC" w14:textId="77777777" w:rsidR="008F1C82" w:rsidRDefault="008F1C82" w:rsidP="008F1C82">
            <w:pPr>
              <w:shd w:val="clear" w:color="auto" w:fill="FFFFFF"/>
              <w:spacing w:after="0"/>
              <w:rPr>
                <w:rFonts w:eastAsia="Times New Roman" w:cs="Times New Roman"/>
                <w:color w:val="4A4A4A"/>
                <w:sz w:val="21"/>
                <w:szCs w:val="21"/>
                <w:lang w:eastAsia="en-GB"/>
              </w:rPr>
            </w:pPr>
          </w:p>
          <w:p w14:paraId="61176BF4"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Serious physical force, at minimum, includes being shot; stabbed or cut; hit by an object; hit by a thrown object; poisoning and other applications of force with the potential to cause serious bodily injury.</w:t>
            </w:r>
          </w:p>
          <w:p w14:paraId="5A955218" w14:textId="77777777" w:rsidR="008F1C82" w:rsidRDefault="008F1C82" w:rsidP="008F1C82">
            <w:pPr>
              <w:shd w:val="clear" w:color="auto" w:fill="FFFFFF"/>
              <w:spacing w:after="0"/>
              <w:rPr>
                <w:rFonts w:eastAsia="Times New Roman" w:cs="Times New Roman"/>
                <w:color w:val="4A4A4A"/>
                <w:sz w:val="21"/>
                <w:szCs w:val="21"/>
                <w:lang w:eastAsia="en-GB"/>
              </w:rPr>
            </w:pPr>
          </w:p>
          <w:p w14:paraId="2D7B567C"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Minor bodily injury, at minimum, includes bruises, cuts, scratches, chipped teeth, swelling, black eye and other minor injuries.</w:t>
            </w:r>
          </w:p>
          <w:p w14:paraId="6FB19EDF" w14:textId="77777777" w:rsidR="008F1C82" w:rsidRDefault="008F1C82" w:rsidP="008F1C82">
            <w:pPr>
              <w:shd w:val="clear" w:color="auto" w:fill="FFFFFF"/>
              <w:spacing w:after="0"/>
              <w:rPr>
                <w:rFonts w:eastAsia="Times New Roman" w:cs="Times New Roman"/>
                <w:color w:val="4A4A4A"/>
                <w:sz w:val="21"/>
                <w:szCs w:val="21"/>
                <w:lang w:eastAsia="en-GB"/>
              </w:rPr>
            </w:pPr>
          </w:p>
          <w:p w14:paraId="0C28CA53"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Minor physical force, at minimum, includes hitting, slapping, pushing, tripping, knocking down and other applications of force with the potential to cause minor bodily injury.</w:t>
            </w:r>
          </w:p>
          <w:p w14:paraId="13E688A1" w14:textId="77777777" w:rsidR="008F1C82" w:rsidRDefault="008F1C82" w:rsidP="008F1C82">
            <w:pPr>
              <w:shd w:val="clear" w:color="auto" w:fill="FFFFFF"/>
              <w:spacing w:after="0"/>
              <w:rPr>
                <w:rFonts w:eastAsia="Times New Roman" w:cs="Times New Roman"/>
                <w:color w:val="4A4A4A"/>
                <w:sz w:val="21"/>
                <w:szCs w:val="21"/>
                <w:lang w:eastAsia="en-GB"/>
              </w:rPr>
            </w:pPr>
          </w:p>
          <w:p w14:paraId="0E143DFE"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Sexual violence (ICCS): Unwanted sexual act, attempt to obtain a sexual act, or contact or communication with unwanted sexual attention without valid consent or with consent as a result of intimidation, force, fraud, coercion, threat, deception, use of drugs or alcohol, or abuse of power or of a position of vulnerability. This includes rape and other forms of sexual assault.</w:t>
            </w:r>
          </w:p>
          <w:p w14:paraId="399AE0E9" w14:textId="77777777" w:rsidR="008F1C82" w:rsidRDefault="008F1C82" w:rsidP="008F1C82">
            <w:pPr>
              <w:shd w:val="clear" w:color="auto" w:fill="FFFFFF"/>
              <w:spacing w:after="0"/>
              <w:rPr>
                <w:rFonts w:eastAsia="Times New Roman" w:cs="Times New Roman"/>
                <w:color w:val="4A4A4A"/>
                <w:sz w:val="21"/>
                <w:szCs w:val="21"/>
                <w:lang w:eastAsia="en-GB"/>
              </w:rPr>
            </w:pPr>
          </w:p>
          <w:p w14:paraId="05B327DC" w14:textId="77777777" w:rsidR="008F1C82" w:rsidRDefault="008F1C82" w:rsidP="008F1C82">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Psychological violence: There is as yet no consensus at the international level of the precise definition of psychological violence and there is as yet no generally well-established methodology to measure psychological violence.</w:t>
            </w:r>
          </w:p>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35E50DB" w:rsidR="0035311B" w:rsidRPr="009F305C" w:rsidRDefault="00D424C1" w:rsidP="009F305C">
            <w:r>
              <w:rPr>
                <w:rFonts w:cstheme="minorHAnsi"/>
                <w:color w:val="262626"/>
              </w:rPr>
              <w:t>I</w:t>
            </w:r>
            <w:r w:rsidR="008F1C82" w:rsidRPr="008F1C82">
              <w:rPr>
                <w:rFonts w:cstheme="minorHAnsi"/>
                <w:color w:val="262626"/>
              </w:rPr>
              <w:t>nstitute of Development Studies, GSS and Associates, 2016</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8F1C82"/>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24C1"/>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4B4C"/>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6861853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9039339">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29183583">
      <w:bodyDiv w:val="1"/>
      <w:marLeft w:val="0"/>
      <w:marRight w:val="0"/>
      <w:marTop w:val="0"/>
      <w:marBottom w:val="0"/>
      <w:divBdr>
        <w:top w:val="none" w:sz="0" w:space="0" w:color="auto"/>
        <w:left w:val="none" w:sz="0" w:space="0" w:color="auto"/>
        <w:bottom w:val="none" w:sz="0" w:space="0" w:color="auto"/>
        <w:right w:val="none" w:sz="0" w:space="0" w:color="auto"/>
      </w:divBdr>
    </w:div>
    <w:div w:id="105057290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229889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43ADB"/>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12</Pages>
  <Words>215742</Words>
  <Characters>1229734</Characters>
  <Application>Microsoft Office Word</Application>
  <DocSecurity>8</DocSecurity>
  <Lines>10247</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1442591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2021-11-05T11:03:00Z</dcterms:created>
  <dcterms:modified xsi:type="dcterms:W3CDTF">2021-11-05T11:11:00Z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