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20"/>
            </w:rPr>
            <w:fldChar w:fldCharType="begin"/>
          </w:r>
          <w:r>
            <w:rPr>
              <w:rStyle w:val="20"/>
            </w:rPr>
            <w:instrText xml:space="preserve"> TOC \o "1-3" \h \z \u </w:instrText>
          </w:r>
          <w:r>
            <w:rPr>
              <w:rStyle w:val="20"/>
            </w:rPr>
            <w:fldChar w:fldCharType="separate"/>
          </w:r>
          <w:r>
            <w:fldChar w:fldCharType="begin"/>
          </w:r>
          <w:r>
            <w:instrText xml:space="preserve"> HYPERLINK \l "_Toc37932741" </w:instrText>
          </w:r>
          <w:r>
            <w:fldChar w:fldCharType="separate"/>
          </w:r>
          <w:r>
            <w:rPr>
              <w:rStyle w:val="20"/>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20"/>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20"/>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20"/>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20"/>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20"/>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20"/>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20"/>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20"/>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20"/>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20"/>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20"/>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20"/>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20"/>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6"/>
        </w:rPr>
        <w:footnoteReference w:id="0"/>
      </w:r>
      <w:r>
        <w:t xml:space="preserve"> A </w:t>
      </w:r>
      <w:r>
        <w:fldChar w:fldCharType="begin"/>
      </w:r>
      <w:r>
        <w:instrText xml:space="preserve"> HYPERLINK \l "Mapping" </w:instrText>
      </w:r>
      <w:r>
        <w:fldChar w:fldCharType="separate"/>
      </w:r>
      <w:r>
        <w:rPr>
          <w:rStyle w:val="20"/>
        </w:rPr>
        <w:t>mapping</w:t>
      </w:r>
      <w:r>
        <w:rPr>
          <w:rStyle w:val="20"/>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20"/>
        </w:rPr>
        <w:t>descriptions</w:t>
      </w:r>
      <w:r>
        <w:rPr>
          <w:rStyle w:val="20"/>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8.10.1 Number of automated teller machines (ATMs) per 100,000 adults [8.10.1] (FB_ATM_TOTL)</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20"/>
        </w:rPr>
        <w:t>ISO web page</w:t>
      </w:r>
      <w:r>
        <w:rPr>
          <w:rStyle w:val="20"/>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571"/>
            <w:bookmarkStart w:id="5" w:name="_Toc36812684"/>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pPr>
            <w:r>
              <w:t>Goal 8: Promote sustained,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jc w:val="both"/>
              <w:rPr>
                <w:rFonts w:cstheme="minorHAnsi"/>
              </w:rPr>
            </w:pPr>
            <w:r>
              <w:t>Target 8.10: Strengthen the capacity of domestic financial institutions to encourage and expand access to banking, insurance and financial services for all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Indicator 8.10.1: (a) Number of commercial bank branches per 100,000 adults and (b) number of automated teller machines (ATMs) per 100,000 adults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Number of automated teller machines (ATMs) per 100,000 adults [8.10.1]</w:t>
            </w:r>
          </w:p>
          <w:p>
            <w:pPr>
              <w:jc w:val="both"/>
              <w:rPr>
                <w:rFonts w:hint="default"/>
                <w:lang w:val="en-CA"/>
              </w:rPr>
            </w:pPr>
            <w:r>
              <w:rPr>
                <w:rFonts w:hint="default"/>
                <w:lang w:val="en-CA"/>
              </w:rPr>
              <w:t>Number of commercial bank branches per 100,000 adults [8.10.1]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3"/>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rPr>
                <w:sz w:val="22"/>
                <w:szCs w:val="22"/>
              </w:rPr>
            </w:pPr>
            <w:r>
              <w:rPr>
                <w:rStyle w:val="56"/>
                <w:rFonts w:ascii="Calibri" w:hAnsi="Calibri" w:cs="Calibri"/>
                <w:color w:val="4A4A4A"/>
                <w:sz w:val="22"/>
                <w:szCs w:val="22"/>
              </w:rPr>
              <w:t>International Monetary Fund (STAFI </w:t>
            </w:r>
            <w:r>
              <w:rPr>
                <w:rStyle w:val="56"/>
                <w:color w:val="4A4A4A"/>
                <w:sz w:val="22"/>
                <w:szCs w:val="22"/>
              </w:rPr>
              <w:t>- </w:t>
            </w:r>
            <w:r>
              <w:rPr>
                <w:rStyle w:val="56"/>
                <w:rFonts w:ascii="Calibri" w:hAnsi="Calibri" w:cs="Calibri"/>
                <w:color w:val="4A4A4A"/>
                <w:sz w:val="22"/>
                <w:szCs w:val="22"/>
              </w:rPr>
              <w:t>Financial Access Survey Team</w:t>
            </w:r>
            <w:r>
              <w:rPr>
                <w:rStyle w:val="56"/>
                <w:color w:val="4A4A4A"/>
                <w:sz w:val="22"/>
                <w:szCs w:val="22"/>
              </w:rPr>
              <w:t>)</w:t>
            </w:r>
            <w:r>
              <w:rPr>
                <w:rStyle w:val="57"/>
                <w:color w:val="4A4A4A"/>
                <w:sz w:val="22"/>
                <w:szCs w:val="22"/>
              </w:rPr>
              <w:t> </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2685"/>
            <w:bookmarkStart w:id="10" w:name="_Toc36655609"/>
            <w:bookmarkStart w:id="11" w:name="_Toc368130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 xml:space="preserve"> </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686"/>
            <w:bookmarkStart w:id="16" w:name="_Toc36813073"/>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rFonts w:hint="default"/>
                <w:b/>
                <w:bCs/>
                <w:lang w:val="en-CA"/>
              </w:rPr>
            </w:pPr>
            <w:r>
              <w:rPr>
                <w:rFonts w:hint="default"/>
                <w:b/>
                <w:bCs/>
                <w:lang w:val="en-CA"/>
              </w:rPr>
              <w:t>Definition:</w:t>
            </w:r>
          </w:p>
          <w:p>
            <w:pPr>
              <w:jc w:val="both"/>
              <w:rPr>
                <w:rFonts w:hint="default"/>
                <w:lang w:val="en-CA"/>
              </w:rPr>
            </w:pPr>
            <w:r>
              <w:t>Commercial bank branches are retail locations of resident commercial banks and other resident banks that function as commercial banks that provide financial services to customers and are physically separated</w:t>
            </w:r>
            <w:r>
              <w:rPr>
                <w:rFonts w:hint="default"/>
                <w:lang w:val="en-CA"/>
              </w:rPr>
              <w:t>.</w:t>
            </w:r>
          </w:p>
          <w:p>
            <w:pPr>
              <w:jc w:val="both"/>
            </w:pPr>
            <w:r>
              <w:t xml:space="preserve"> Automated teller machines are computerized telecommunications devices that provide clients of a financial institution with access to financial transactions in a public place.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 xml:space="preserve"> Per</w:t>
            </w:r>
            <w:r>
              <w:rPr>
                <w:rFonts w:hint="default"/>
                <w:lang w:val="en-CA"/>
              </w:rPr>
              <w:t xml:space="preserve"> 100,000 population</w:t>
            </w:r>
            <w:bookmarkStart w:id="38" w:name="_GoBack"/>
            <w:bookmarkEnd w:id="38"/>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r>
              <w:t xml:space="preserve"> </w:t>
            </w: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pStyle w:val="58"/>
              <w:spacing w:after="0"/>
              <w:jc w:val="both"/>
            </w:pPr>
            <w:r>
              <w:rPr>
                <w:rFonts w:asciiTheme="minorHAnsi" w:hAnsiTheme="minorHAnsi" w:cstheme="minorHAnsi"/>
                <w:iCs w:val="0"/>
                <w:color w:val="auto"/>
                <w:sz w:val="22"/>
                <w:szCs w:val="22"/>
              </w:rPr>
              <w:t>B</w:t>
            </w:r>
            <w:r>
              <w:rPr>
                <w:rFonts w:hint="default" w:asciiTheme="minorHAnsi" w:hAnsiTheme="minorHAnsi" w:cstheme="minorHAnsi"/>
                <w:iCs w:val="0"/>
                <w:color w:val="auto"/>
                <w:sz w:val="22"/>
                <w:szCs w:val="22"/>
                <w:lang w:val="en-CA"/>
              </w:rPr>
              <w:t xml:space="preserve">ank of </w:t>
            </w:r>
            <w:r>
              <w:rPr>
                <w:rFonts w:asciiTheme="minorHAnsi" w:hAnsiTheme="minorHAnsi" w:cstheme="minorHAnsi"/>
                <w:iCs w:val="0"/>
                <w:color w:val="auto"/>
                <w:sz w:val="22"/>
                <w:szCs w:val="22"/>
              </w:rPr>
              <w:t>G</w:t>
            </w:r>
            <w:r>
              <w:rPr>
                <w:rFonts w:hint="default" w:asciiTheme="minorHAnsi" w:hAnsiTheme="minorHAnsi" w:cstheme="minorHAnsi"/>
                <w:iCs w:val="0"/>
                <w:color w:val="auto"/>
                <w:sz w:val="22"/>
                <w:szCs w:val="22"/>
                <w:lang w:val="en-CA"/>
              </w:rPr>
              <w:t>hana (BoG)</w:t>
            </w:r>
            <w:r>
              <w:rPr>
                <w:rFonts w:asciiTheme="minorHAnsi" w:hAnsiTheme="minorHAnsi" w:cstheme="minorHAnsi"/>
                <w:iCs w:val="0"/>
                <w:color w:val="auto"/>
                <w:sz w:val="22"/>
                <w:szCs w:val="22"/>
              </w:rPr>
              <w:t>, Annual Report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lang w:val="en-CA"/>
              </w:rPr>
              <w:t>Bank of Ghana</w:t>
            </w:r>
            <w:r>
              <w:rPr>
                <w:rFonts w:hint="default"/>
                <w:lang w:val="en-CA"/>
              </w:rPr>
              <w:t xml:space="preserve"> (BoG)</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655612"/>
            <w:bookmarkStart w:id="22" w:name="_Toc36812575"/>
            <w:bookmarkStart w:id="23" w:name="_Toc36812688"/>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hint="default"/>
                <w:lang w:val="en-CA"/>
              </w:rPr>
            </w:pPr>
            <w:r>
              <w:t>Access to and use of formal financial services is essential. Services such as savings, insurance, payments, credit and remittances allow people to manage their lives, plan and pay expenses, grow their businesses and improve their overall welfare. As banks remain one of the key institutions for access to formal financial services, having an accessible bank branch is an important initial point of access to financial services and therefore use of them. Bank branches are complemented by other important points of access such as automated teller machines of all formal financial institutions, which can extend financial services to remote locations</w:t>
            </w:r>
            <w:r>
              <w:rPr>
                <w:rFonts w:hint="default"/>
                <w:lang w:val="en-CA"/>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rPr>
                <w:rFonts w:hint="default"/>
                <w:lang w:val="en-CA"/>
              </w:rPr>
            </w:p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2689"/>
            <w:bookmarkStart w:id="27" w:name="_Toc37932748"/>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eastAsia="zh-CN"/>
              </w:rPr>
              <w:fldChar w:fldCharType="begin"/>
            </w:r>
            <w:r>
              <w:rPr>
                <w:rFonts w:hint="default"/>
                <w:lang w:val="en-CA" w:eastAsia="zh-CN"/>
              </w:rPr>
              <w:instrText xml:space="preserve"> HYPERLINK "https://unstats.un.org/sdgs/metadata/files/Metadata-08-10-01.pdf " </w:instrText>
            </w:r>
            <w:r>
              <w:rPr>
                <w:rFonts w:hint="default"/>
                <w:lang w:val="en-CA" w:eastAsia="zh-CN"/>
              </w:rPr>
              <w:fldChar w:fldCharType="separate"/>
            </w:r>
            <w:r>
              <w:rPr>
                <w:rStyle w:val="20"/>
                <w:rFonts w:hint="default"/>
                <w:lang w:val="en-CA" w:eastAsia="zh-CN"/>
              </w:rPr>
              <w:t xml:space="preserve">SDG Indicators </w:t>
            </w:r>
            <w:r>
              <w:rPr>
                <w:rStyle w:val="20"/>
                <w:rFonts w:hint="default"/>
              </w:rPr>
              <w:t>—</w:t>
            </w:r>
            <w:r>
              <w:rPr>
                <w:rStyle w:val="20"/>
                <w:rFonts w:hint="default"/>
                <w:lang w:val="en-CA"/>
              </w:rPr>
              <w:t xml:space="preserve"> SDG Indicators</w:t>
            </w:r>
            <w:r>
              <w:rPr>
                <w:rFonts w:hint="default"/>
                <w:lang w:val="en-CA" w:eastAsia="zh-CN"/>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3"/>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3"/>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3"/>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3"/>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3"/>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3"/>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3"/>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3"/>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3"/>
        <w:rPr>
          <w:sz w:val="22"/>
          <w:szCs w:val="22"/>
        </w:rPr>
      </w:pPr>
    </w:p>
    <w:p>
      <w:pPr>
        <w:pStyle w:val="13"/>
        <w:rPr>
          <w:sz w:val="22"/>
          <w:szCs w:val="22"/>
        </w:rPr>
      </w:pPr>
    </w:p>
    <w:p>
      <w:pPr>
        <w:pStyle w:val="13"/>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3"/>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5"/>
          <w:jc w:val="right"/>
        </w:pPr>
        <w:r>
          <w:fldChar w:fldCharType="begin"/>
        </w:r>
        <w:r>
          <w:instrText xml:space="preserve"> PAGE   \* MERGEFORMAT </w:instrText>
        </w:r>
        <w:r>
          <w:fldChar w:fldCharType="separate"/>
        </w:r>
        <w:r>
          <w:t>2</w:t>
        </w:r>
        <w:r>
          <w:fldChar w:fldCharType="end"/>
        </w:r>
      </w:p>
    </w:sdtContent>
  </w:sdt>
  <w:p>
    <w:pPr>
      <w:pStyle w:val="15"/>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5"/>
          <w:jc w:val="right"/>
        </w:pPr>
        <w:r>
          <w:fldChar w:fldCharType="begin"/>
        </w:r>
        <w:r>
          <w:instrText xml:space="preserve"> PAGE   \* MERGEFORMAT </w:instrText>
        </w:r>
        <w:r>
          <w:fldChar w:fldCharType="separate"/>
        </w:r>
        <w:r>
          <w:t>1</w:t>
        </w:r>
        <w:r>
          <w:fldChar w:fldCharType="end"/>
        </w:r>
      </w:p>
    </w:sdtContent>
  </w:sdt>
  <w:p>
    <w:pPr>
      <w:pStyle w:val="15"/>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8"/>
        <w:rPr>
          <w:lang w:val="en-US"/>
        </w:rPr>
      </w:pPr>
      <w:r>
        <w:rPr>
          <w:rStyle w:val="16"/>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6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32C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2890"/>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3906"/>
    <w:rsid w:val="00E66CDC"/>
    <w:rsid w:val="00E67E00"/>
    <w:rsid w:val="00E74F47"/>
    <w:rsid w:val="00E842C7"/>
    <w:rsid w:val="00E953F3"/>
    <w:rsid w:val="00EA6E73"/>
    <w:rsid w:val="00EB3760"/>
    <w:rsid w:val="00EC064B"/>
    <w:rsid w:val="00EC6024"/>
    <w:rsid w:val="00EE4BB5"/>
    <w:rsid w:val="00EE77C5"/>
    <w:rsid w:val="00EE79CF"/>
    <w:rsid w:val="00EF453F"/>
    <w:rsid w:val="00F00FDD"/>
    <w:rsid w:val="00F01713"/>
    <w:rsid w:val="00F02B1E"/>
    <w:rsid w:val="00F07040"/>
    <w:rsid w:val="00F2310E"/>
    <w:rsid w:val="00F54570"/>
    <w:rsid w:val="00F75853"/>
    <w:rsid w:val="00F7784D"/>
    <w:rsid w:val="00F8144F"/>
    <w:rsid w:val="00F8462A"/>
    <w:rsid w:val="00F862A7"/>
    <w:rsid w:val="00F87C6F"/>
    <w:rsid w:val="00F93763"/>
    <w:rsid w:val="00F939A2"/>
    <w:rsid w:val="00F96E8D"/>
    <w:rsid w:val="00FA20D9"/>
    <w:rsid w:val="00FB03D0"/>
    <w:rsid w:val="00FC11F2"/>
    <w:rsid w:val="00FD54D7"/>
    <w:rsid w:val="00FF642D"/>
    <w:rsid w:val="21B47F0E"/>
    <w:rsid w:val="5FBD0D8A"/>
    <w:rsid w:val="60A11EE2"/>
    <w:rsid w:val="75E85E9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3"/>
    <w:next w:val="1"/>
    <w:semiHidden/>
    <w:unhideWhenUsed/>
    <w:qFormat/>
    <w:uiPriority w:val="9"/>
    <w:pPr>
      <w:spacing w:before="0" w:beforeAutospacing="1" w:after="0" w:afterAutospacing="1"/>
      <w:jc w:val="left"/>
    </w:pPr>
    <w:rPr>
      <w:rFonts w:hint="eastAsia" w:ascii="SimSun" w:hAnsi="SimSun" w:eastAsia="SimSun" w:cs="SimSun"/>
      <w:b/>
      <w:bCs/>
      <w:kern w:val="0"/>
      <w:sz w:val="27"/>
      <w:szCs w:val="27"/>
      <w:lang w:val="en-US" w:eastAsia="zh-CN" w:bidi="ar"/>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paragraph" w:styleId="8">
    <w:name w:val="caption"/>
    <w:basedOn w:val="1"/>
    <w:next w:val="1"/>
    <w:semiHidden/>
    <w:unhideWhenUsed/>
    <w:qFormat/>
    <w:uiPriority w:val="35"/>
    <w:pPr>
      <w:spacing w:after="200" w:line="240" w:lineRule="auto"/>
    </w:pPr>
    <w:rPr>
      <w:i/>
      <w:iCs/>
      <w:color w:val="44546A" w:themeColor="text2"/>
      <w:sz w:val="18"/>
      <w:szCs w:val="18"/>
      <w14:textFill>
        <w14:solidFill>
          <w14:schemeClr w14:val="tx2"/>
        </w14:solidFill>
      </w14:textFill>
    </w:rPr>
  </w:style>
  <w:style w:type="character" w:styleId="9">
    <w:name w:val="annotation reference"/>
    <w:basedOn w:val="5"/>
    <w:semiHidden/>
    <w:unhideWhenUsed/>
    <w:qFormat/>
    <w:uiPriority w:val="99"/>
    <w:rPr>
      <w:sz w:val="16"/>
      <w:szCs w:val="16"/>
    </w:rPr>
  </w:style>
  <w:style w:type="paragraph" w:styleId="10">
    <w:name w:val="annotation text"/>
    <w:basedOn w:val="1"/>
    <w:link w:val="48"/>
    <w:semiHidden/>
    <w:unhideWhenUsed/>
    <w:qFormat/>
    <w:uiPriority w:val="99"/>
    <w:pPr>
      <w:spacing w:line="240" w:lineRule="auto"/>
    </w:pPr>
    <w:rPr>
      <w:sz w:val="20"/>
      <w:szCs w:val="20"/>
    </w:rPr>
  </w:style>
  <w:style w:type="paragraph" w:styleId="11">
    <w:name w:val="annotation subject"/>
    <w:basedOn w:val="10"/>
    <w:next w:val="10"/>
    <w:link w:val="49"/>
    <w:semiHidden/>
    <w:unhideWhenUsed/>
    <w:qFormat/>
    <w:uiPriority w:val="99"/>
    <w:rPr>
      <w:b/>
      <w:bCs/>
    </w:rPr>
  </w:style>
  <w:style w:type="character" w:styleId="12">
    <w:name w:val="endnote reference"/>
    <w:basedOn w:val="5"/>
    <w:semiHidden/>
    <w:unhideWhenUsed/>
    <w:qFormat/>
    <w:uiPriority w:val="99"/>
    <w:rPr>
      <w:vertAlign w:val="superscript"/>
    </w:rPr>
  </w:style>
  <w:style w:type="paragraph" w:styleId="13">
    <w:name w:val="endnote text"/>
    <w:basedOn w:val="1"/>
    <w:link w:val="51"/>
    <w:unhideWhenUsed/>
    <w:qFormat/>
    <w:uiPriority w:val="99"/>
    <w:pPr>
      <w:spacing w:after="0" w:line="240" w:lineRule="auto"/>
    </w:pPr>
    <w:rPr>
      <w:sz w:val="20"/>
      <w:szCs w:val="20"/>
    </w:rPr>
  </w:style>
  <w:style w:type="character" w:styleId="14">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5">
    <w:name w:val="footer"/>
    <w:basedOn w:val="1"/>
    <w:link w:val="46"/>
    <w:unhideWhenUsed/>
    <w:qFormat/>
    <w:uiPriority w:val="99"/>
    <w:pPr>
      <w:tabs>
        <w:tab w:val="center" w:pos="4680"/>
        <w:tab w:val="right" w:pos="9360"/>
      </w:tabs>
      <w:spacing w:after="0" w:line="240" w:lineRule="auto"/>
    </w:pPr>
  </w:style>
  <w:style w:type="character" w:styleId="16">
    <w:name w:val="footnote reference"/>
    <w:basedOn w:val="5"/>
    <w:link w:val="17"/>
    <w:unhideWhenUsed/>
    <w:qFormat/>
    <w:uiPriority w:val="99"/>
    <w:rPr>
      <w:vertAlign w:val="superscript"/>
    </w:rPr>
  </w:style>
  <w:style w:type="paragraph" w:customStyle="1" w:styleId="17">
    <w:name w:val="BVI fnr Char1 Char Char Char Char Char"/>
    <w:basedOn w:val="1"/>
    <w:link w:val="16"/>
    <w:qFormat/>
    <w:uiPriority w:val="99"/>
    <w:pPr>
      <w:spacing w:line="240" w:lineRule="exact"/>
      <w:jc w:val="both"/>
    </w:pPr>
    <w:rPr>
      <w:vertAlign w:val="superscript"/>
    </w:rPr>
  </w:style>
  <w:style w:type="paragraph" w:styleId="18">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9">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20">
    <w:name w:val="Hyperlink"/>
    <w:basedOn w:val="5"/>
    <w:unhideWhenUsed/>
    <w:qFormat/>
    <w:uiPriority w:val="99"/>
    <w:rPr>
      <w:color w:val="0563C1" w:themeColor="hyperlink"/>
      <w:u w:val="single"/>
      <w14:textFill>
        <w14:solidFill>
          <w14:schemeClr w14:val="hlink"/>
        </w14:solidFill>
      </w14:textFill>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9"/>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8"/>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5"/>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10"/>
    <w:semiHidden/>
    <w:qFormat/>
    <w:uiPriority w:val="99"/>
    <w:rPr>
      <w:sz w:val="20"/>
      <w:szCs w:val="20"/>
    </w:rPr>
  </w:style>
  <w:style w:type="character" w:customStyle="1" w:styleId="49">
    <w:name w:val="Comment Subject Char"/>
    <w:basedOn w:val="48"/>
    <w:link w:val="11"/>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3"/>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5"/>
    <w:semiHidden/>
    <w:unhideWhenUsed/>
    <w:qFormat/>
    <w:uiPriority w:val="99"/>
    <w:rPr>
      <w:color w:val="605E5C"/>
      <w:shd w:val="clear" w:color="auto" w:fill="E1DFDD"/>
    </w:rPr>
  </w:style>
  <w:style w:type="character" w:customStyle="1" w:styleId="55">
    <w:name w:val="hidden-sm"/>
    <w:basedOn w:val="5"/>
    <w:qFormat/>
    <w:uiPriority w:val="0"/>
  </w:style>
  <w:style w:type="character" w:customStyle="1" w:styleId="56">
    <w:name w:val="normaltextrun"/>
    <w:basedOn w:val="5"/>
    <w:qFormat/>
    <w:uiPriority w:val="0"/>
  </w:style>
  <w:style w:type="character" w:customStyle="1" w:styleId="57">
    <w:name w:val="eop"/>
    <w:basedOn w:val="5"/>
    <w:qFormat/>
    <w:uiPriority w:val="0"/>
  </w:style>
  <w:style w:type="paragraph" w:customStyle="1" w:styleId="58">
    <w:name w:val="Figure 54"/>
    <w:basedOn w:val="8"/>
    <w:next w:val="8"/>
    <w:qFormat/>
    <w:uiPriority w:val="0"/>
    <w:rPr>
      <w:rFonts w:ascii="Times New Roman" w:hAnsi="Times New Roman"/>
      <w:i w:val="0"/>
      <w:sz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73CB"/>
    <w:rsid w:val="00287251"/>
    <w:rsid w:val="00296525"/>
    <w:rsid w:val="0036646D"/>
    <w:rsid w:val="00517CF2"/>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215634</Words>
  <Characters>1229119</Characters>
  <Lines>10242</Lines>
  <Paragraphs>2883</Paragraphs>
  <TotalTime>1</TotalTime>
  <ScaleCrop>false</ScaleCrop>
  <LinksUpToDate>false</LinksUpToDate>
  <CharactersWithSpaces>1441870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2021-10-18T14:39:00Z</dcterms:created>
  <dc:creator>Fanning, Stephen B (JMD)</dc:creator>
  <cp:lastModifiedBy>Doreen</cp:lastModifiedBy>
  <cp:lastPrinted>2020-04-16T14:23:00Z</cp:lastPrinted>
  <dcterms:modified xsi:type="dcterms:W3CDTF">2022-11-14T17:38:13Z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C37D2D6712EF4B9493E02012EBFEC771</vt:lpwstr>
  </property>
</Properties>
</file>