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B725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B725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B725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B725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B725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B725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B725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B725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B725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B725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B725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B725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B725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EB4508F" w:rsidR="00355460" w:rsidRPr="00E263EC" w:rsidRDefault="001C45C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4731899" w:rsidR="00B66AF3" w:rsidRDefault="001C45C7" w:rsidP="00B66AF3">
          <w:r>
            <w:t>8.10.2 Proportion of adults (15 years and older) with an account at a financial institution or mobile-money-service provider [8.10.2] (FB_BNK_ACCSS)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F7C3CC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FFC661F" w:rsidR="0077584C" w:rsidRDefault="001C45C7"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7AEB0E5" w:rsidR="00F7784D" w:rsidRDefault="001C45C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3C90754"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FAFAC9E" w14:textId="77777777" w:rsidR="001C45C7" w:rsidRPr="001C45C7" w:rsidRDefault="00EB7254" w:rsidP="001C45C7">
            <w:pPr>
              <w:pStyle w:val="Heading1"/>
              <w:rPr>
                <w:rFonts w:asciiTheme="minorHAnsi" w:hAnsiTheme="minorHAnsi" w:cstheme="minorHAnsi"/>
                <w:color w:val="auto"/>
                <w:sz w:val="22"/>
                <w:szCs w:val="22"/>
              </w:rPr>
            </w:pPr>
            <w:hyperlink r:id="rId21" w:history="1">
              <w:r w:rsidR="001C45C7" w:rsidRPr="001C45C7">
                <w:rPr>
                  <w:rStyle w:val="hidden-sm"/>
                  <w:rFonts w:asciiTheme="minorHAnsi" w:hAnsiTheme="minorHAnsi" w:cstheme="minorHAnsi"/>
                  <w:color w:val="auto"/>
                  <w:sz w:val="22"/>
                  <w:szCs w:val="22"/>
                </w:rPr>
                <w:t xml:space="preserve">Goal 8: </w:t>
              </w:r>
              <w:r w:rsidR="001C45C7" w:rsidRPr="001C45C7">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7CD6FDE" w14:textId="77777777" w:rsidR="00EB7254" w:rsidRPr="00EB7254" w:rsidRDefault="00EB7254" w:rsidP="00EB7254">
            <w:pPr>
              <w:pStyle w:val="Heading5"/>
              <w:shd w:val="clear" w:color="auto" w:fill="F5F5F5"/>
              <w:spacing w:before="0"/>
              <w:rPr>
                <w:rFonts w:asciiTheme="minorHAnsi" w:hAnsiTheme="minorHAnsi"/>
                <w:color w:val="333333"/>
              </w:rPr>
            </w:pPr>
            <w:r w:rsidRPr="00EB7254">
              <w:rPr>
                <w:rFonts w:asciiTheme="minorHAnsi" w:hAnsiTheme="minorHAnsi"/>
                <w:color w:val="333333"/>
              </w:rPr>
              <w:t>Target 8.10: Strengthen the capacity of domestic financial institutions to encourage and expand access to banking, insurance and financial services for all</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81BA272" w14:textId="77777777" w:rsidR="001C45C7" w:rsidRPr="001C45C7" w:rsidRDefault="001C45C7" w:rsidP="001C45C7">
            <w:pPr>
              <w:pStyle w:val="Heading2"/>
              <w:rPr>
                <w:rFonts w:asciiTheme="minorHAnsi" w:hAnsiTheme="minorHAnsi" w:cstheme="minorHAnsi"/>
                <w:color w:val="auto"/>
                <w:sz w:val="22"/>
                <w:szCs w:val="22"/>
              </w:rPr>
            </w:pPr>
            <w:r w:rsidRPr="001C45C7">
              <w:rPr>
                <w:rFonts w:asciiTheme="minorHAnsi" w:hAnsiTheme="minorHAnsi" w:cstheme="minorHAnsi"/>
                <w:color w:val="auto"/>
                <w:sz w:val="22"/>
                <w:szCs w:val="22"/>
              </w:rPr>
              <w:t xml:space="preserve"> Indicator 8.10.2: Proportion of adults (15 years and older) with an account at a bank or other financial institution or with a mobile-money-service provider</w:t>
            </w:r>
          </w:p>
          <w:p w14:paraId="48669CAE" w14:textId="27339601" w:rsidR="005377B9" w:rsidRPr="001C45C7" w:rsidRDefault="005377B9" w:rsidP="009F305C">
            <w:pPr>
              <w:rPr>
                <w:rFonts w:cstheme="minorHAnsi"/>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7E0357D" w14:textId="77777777" w:rsidR="00EB7254" w:rsidRDefault="00EB7254" w:rsidP="00EB7254">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1.4, 5.a, 2.3</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2C57997" w14:textId="77777777" w:rsidR="00EB7254" w:rsidRDefault="00EB7254" w:rsidP="00EB7254">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A280955" w:rsidR="003E7389" w:rsidRPr="009F305C" w:rsidRDefault="00EB7254" w:rsidP="009F305C">
            <w:r>
              <w:t>Bank of Ghana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380FD2B" w14:textId="77777777" w:rsidR="00EB7254" w:rsidRDefault="00EB7254" w:rsidP="00EB7254">
            <w:pPr>
              <w:shd w:val="clear" w:color="auto" w:fill="FFFFFF"/>
              <w:spacing w:after="0"/>
              <w:rPr>
                <w:rFonts w:cs="Times New Roman"/>
                <w:color w:val="4A4A4A"/>
                <w:sz w:val="21"/>
                <w:szCs w:val="21"/>
              </w:rPr>
            </w:pPr>
            <w:r>
              <w:rPr>
                <w:rStyle w:val="Strong"/>
                <w:rFonts w:cs="Times New Roman"/>
                <w:color w:val="4A4A4A"/>
                <w:sz w:val="21"/>
                <w:szCs w:val="21"/>
              </w:rPr>
              <w:t>Definition:</w:t>
            </w:r>
          </w:p>
          <w:p w14:paraId="267D1884" w14:textId="77777777" w:rsidR="00EB7254" w:rsidRDefault="00EB7254" w:rsidP="00EB7254">
            <w:pPr>
              <w:shd w:val="clear" w:color="auto" w:fill="FFFFFF"/>
              <w:spacing w:after="0"/>
              <w:rPr>
                <w:rFonts w:cs="Times New Roman"/>
                <w:color w:val="4A4A4A"/>
                <w:sz w:val="21"/>
                <w:szCs w:val="21"/>
              </w:rPr>
            </w:pPr>
          </w:p>
          <w:p w14:paraId="282234C8" w14:textId="77777777" w:rsidR="00EB7254" w:rsidRDefault="00EB7254" w:rsidP="00EB7254">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 xml:space="preserve">The percentage of adults (ages 15+) who report having an account (by themselves or together with someone else) at a bank or another type of financial institution or personally using a mobile money service in the past 12 months. </w:t>
            </w:r>
          </w:p>
          <w:p w14:paraId="434F924E" w14:textId="77777777" w:rsidR="00EB7254" w:rsidRDefault="00EB7254" w:rsidP="00EB7254">
            <w:pPr>
              <w:shd w:val="clear" w:color="auto" w:fill="FFFFFF"/>
              <w:spacing w:after="0"/>
              <w:rPr>
                <w:rFonts w:cs="Times New Roman"/>
                <w:color w:val="4A4A4A"/>
                <w:sz w:val="21"/>
                <w:szCs w:val="21"/>
              </w:rPr>
            </w:pPr>
            <w:r>
              <w:rPr>
                <w:rStyle w:val="Strong"/>
                <w:rFonts w:cs="Times New Roman"/>
                <w:color w:val="4A4A4A"/>
                <w:sz w:val="21"/>
                <w:szCs w:val="21"/>
              </w:rPr>
              <w:t>Concepts:</w:t>
            </w:r>
          </w:p>
          <w:p w14:paraId="5EAC9645" w14:textId="77777777" w:rsidR="00EB7254" w:rsidRDefault="00EB7254" w:rsidP="00EB7254">
            <w:pPr>
              <w:shd w:val="clear" w:color="auto" w:fill="FFFFFF"/>
              <w:spacing w:after="0"/>
              <w:rPr>
                <w:rFonts w:cs="Times New Roman"/>
                <w:color w:val="4A4A4A"/>
                <w:sz w:val="21"/>
                <w:szCs w:val="21"/>
              </w:rPr>
            </w:pPr>
          </w:p>
          <w:p w14:paraId="1E0DD067" w14:textId="77777777" w:rsidR="00EB7254" w:rsidRDefault="00EB7254" w:rsidP="00EB7254">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Account at a financial institution includes respondents who report having an account at a bank or at another type of financial institution, such as a credit union, microfinance institution, cooperative, or the post office (if applicable), or having a debit card in their own name. In addition, it includes respondents who report receiving wages, government transfers, or payments for agricultural products into an account at a financial institution in the past 12 months; paying utility bills or school fees from an account at a financial institution in the past 12 months; or receiving wages or government transfers into a card in the past 12 months. Mobile money account includes respondents who report personally using GSM Association (GSMA) Mobile Money for the Unbanked (MMU) services in the past 12 months to pay bills or to send or receive money. In addition, it includes respondents who report receiving wages, government transfers, or payments for agricultural products through a mobile phone in the past 12 months.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D64426B" w:rsidR="0035311B" w:rsidRPr="00EB7254" w:rsidRDefault="00EB7254" w:rsidP="009F305C">
            <w:pPr>
              <w:rPr>
                <w:rFonts w:cstheme="minorHAnsi"/>
                <w:iCs/>
              </w:rPr>
            </w:pPr>
            <w:r w:rsidRPr="00EB7254">
              <w:rPr>
                <w:rFonts w:eastAsia="Calibri" w:cstheme="minorHAnsi"/>
                <w:bCs/>
                <w:iCs/>
                <w:noProof/>
              </w:rPr>
              <w:t>BoG Payment Systems Oversight Annual Report, 2018 and BoG Economic and Financial Data,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45C7"/>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7254"/>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semiHidden/>
    <w:unhideWhenUsed/>
    <w:qFormat/>
    <w:rsid w:val="00EB725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1C45C7"/>
  </w:style>
  <w:style w:type="character" w:customStyle="1" w:styleId="Heading5Char">
    <w:name w:val="Heading 5 Char"/>
    <w:basedOn w:val="DefaultParagraphFont"/>
    <w:link w:val="Heading5"/>
    <w:uiPriority w:val="9"/>
    <w:semiHidden/>
    <w:rsid w:val="00EB7254"/>
    <w:rPr>
      <w:rFonts w:asciiTheme="majorHAnsi" w:eastAsiaTheme="majorEastAsia" w:hAnsiTheme="majorHAnsi" w:cstheme="majorBidi"/>
      <w:color w:val="2E74B5" w:themeColor="accent1" w:themeShade="BF"/>
    </w:rPr>
  </w:style>
  <w:style w:type="paragraph" w:customStyle="1" w:styleId="form-control-static">
    <w:name w:val="form-control-static"/>
    <w:basedOn w:val="Normal"/>
    <w:rsid w:val="00EB7254"/>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EB7254"/>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2141189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4916834">
      <w:bodyDiv w:val="1"/>
      <w:marLeft w:val="0"/>
      <w:marRight w:val="0"/>
      <w:marTop w:val="0"/>
      <w:marBottom w:val="0"/>
      <w:divBdr>
        <w:top w:val="none" w:sz="0" w:space="0" w:color="auto"/>
        <w:left w:val="none" w:sz="0" w:space="0" w:color="auto"/>
        <w:bottom w:val="none" w:sz="0" w:space="0" w:color="auto"/>
        <w:right w:val="none" w:sz="0" w:space="0" w:color="auto"/>
      </w:divBdr>
    </w:div>
    <w:div w:id="42384274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0920207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6123168">
      <w:bodyDiv w:val="1"/>
      <w:marLeft w:val="0"/>
      <w:marRight w:val="0"/>
      <w:marTop w:val="0"/>
      <w:marBottom w:val="0"/>
      <w:divBdr>
        <w:top w:val="none" w:sz="0" w:space="0" w:color="auto"/>
        <w:left w:val="none" w:sz="0" w:space="0" w:color="auto"/>
        <w:bottom w:val="none" w:sz="0" w:space="0" w:color="auto"/>
        <w:right w:val="none" w:sz="0" w:space="0" w:color="auto"/>
      </w:divBdr>
    </w:div>
    <w:div w:id="19350865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decent-jobs-and-economic-growth"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11</Pages>
  <Words>215655</Words>
  <Characters>1229239</Characters>
  <Application>Microsoft Office Word</Application>
  <DocSecurity>8</DocSecurity>
  <Lines>10243</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2021-10-18T14:51:00Z</dcterms:created>
  <dcterms:modified xsi:type="dcterms:W3CDTF">2021-11-03T15:50:00Z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