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Post Harvest Loss is the quantitative losses in storage, transport, harvest and marketing of agricultural produce incurred after harvest. Percentage of total production that is lost (quantitative and qualitative) during all stages of the post-harvest phases of the system for priority products. For the purpose of this report, post-harvest losses (PHL) are restricted to the losses that occur during harvesting, storage, transport, processing, packaging and sales.</w:t>
            </w: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"https://sustainabledevelopment-ghana.github.io/responsible-consumption-and-production" </w:instrText>
            </w:r>
            <w:r>
              <w:fldChar w:fldCharType="separate"/>
            </w:r>
            <w:r>
              <w:rPr>
                <w:rStyle w:val="54"/>
                <w:rFonts w:asciiTheme="minorHAnsi" w:hAnsiTheme="minorHAnsi" w:cstheme="minorHAnsi"/>
                <w:color w:val="auto"/>
                <w:sz w:val="22"/>
                <w:szCs w:val="22"/>
              </w:rPr>
              <w:t xml:space="preserve">Goal 12: </w:t>
            </w:r>
            <w:r>
              <w:rPr>
                <w:rStyle w:val="18"/>
                <w:rFonts w:asciiTheme="minorHAnsi" w:hAnsiTheme="minorHAnsi" w:cstheme="minorHAnsi"/>
                <w:color w:val="auto"/>
                <w:sz w:val="22"/>
                <w:szCs w:val="22"/>
                <w:u w:val="none"/>
              </w:rPr>
              <w:t>Ensure sustainable consumption and production patterns</w:t>
            </w:r>
            <w:r>
              <w:rPr>
                <w:rStyle w:val="18"/>
                <w:rFonts w:asciiTheme="minorHAnsi" w:hAnsiTheme="minorHAnsi" w:cstheme="minorHAnsi"/>
                <w:color w:val="auto"/>
                <w:sz w:val="22"/>
                <w:szCs w:val="22"/>
                <w:u w:val="none"/>
              </w:rPr>
              <w:fldChar w:fldCharType="end"/>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12.3.1: Global food loss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cstheme="minorHAnsi"/>
                <w:sz w:val="22"/>
                <w:szCs w:val="22"/>
              </w:rPr>
              <w:t>SDG Sub-Indicator 12.3.1b:  Food Waste Index</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Food and Agriculture</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b/>
                <w:sz w:val="22"/>
                <w:szCs w:val="22"/>
                <w:u w:val="single"/>
              </w:rPr>
            </w:pPr>
            <w:r>
              <w:rPr>
                <w:b/>
                <w:sz w:val="22"/>
                <w:szCs w:val="22"/>
                <w:u w:val="single"/>
              </w:rPr>
              <w:t>Definitions</w:t>
            </w:r>
          </w:p>
          <w:p>
            <w:pPr>
              <w:pStyle w:val="35"/>
              <w:rPr>
                <w:b/>
                <w:sz w:val="22"/>
                <w:szCs w:val="22"/>
              </w:rPr>
            </w:pPr>
          </w:p>
          <w:p>
            <w:pPr>
              <w:pStyle w:val="35"/>
              <w:rPr>
                <w:sz w:val="22"/>
                <w:szCs w:val="22"/>
              </w:rPr>
            </w:pPr>
            <w:r>
              <w:rPr>
                <w:b/>
                <w:color w:val="auto"/>
                <w:sz w:val="22"/>
                <w:szCs w:val="22"/>
              </w:rPr>
              <w:t xml:space="preserve">The </w:t>
            </w:r>
            <w:r>
              <w:rPr>
                <w:rFonts w:cstheme="minorHAnsi"/>
                <w:b/>
                <w:bCs/>
                <w:sz w:val="22"/>
                <w:szCs w:val="22"/>
              </w:rPr>
              <w:t xml:space="preserve">Food Loss Index </w:t>
            </w:r>
            <w:r>
              <w:rPr>
                <w:rFonts w:cstheme="minorHAnsi"/>
                <w:sz w:val="22"/>
                <w:szCs w:val="22"/>
              </w:rPr>
              <w:t xml:space="preserve">- </w:t>
            </w:r>
            <w:r>
              <w:rPr>
                <w:color w:val="auto"/>
                <w:sz w:val="22"/>
                <w:szCs w:val="22"/>
              </w:rPr>
              <w:t xml:space="preserve">Index of the changes in food </w:t>
            </w:r>
            <w:r>
              <w:rPr>
                <w:rFonts w:cstheme="minorHAnsi"/>
                <w:sz w:val="22"/>
                <w:szCs w:val="22"/>
              </w:rPr>
              <w:t>loss over time. The index covers five food groups</w:t>
            </w:r>
            <w:r>
              <w:rPr>
                <w:color w:val="auto"/>
                <w:sz w:val="22"/>
                <w:szCs w:val="22"/>
              </w:rPr>
              <w:t xml:space="preserve"> along the supply chain</w:t>
            </w:r>
            <w:r>
              <w:rPr>
                <w:rFonts w:cstheme="minorHAnsi"/>
                <w:sz w:val="22"/>
                <w:szCs w:val="22"/>
              </w:rPr>
              <w:t xml:space="preserve">. </w:t>
            </w:r>
            <w:r>
              <w:rPr>
                <w:sz w:val="22"/>
                <w:szCs w:val="22"/>
              </w:rPr>
              <w:t xml:space="preserve">The indicator is computed as a ratio of Food Loss Percentages in the current year and the Food Loss Percentages in the base year according to a standard fixed-base index formula. </w:t>
            </w:r>
          </w:p>
          <w:p>
            <w:pPr>
              <w:pStyle w:val="35"/>
              <w:rPr>
                <w:b/>
                <w:sz w:val="22"/>
                <w:szCs w:val="22"/>
              </w:rPr>
            </w:pPr>
          </w:p>
          <w:p>
            <w:pPr>
              <w:pStyle w:val="35"/>
              <w:rPr>
                <w:rFonts w:cstheme="minorHAnsi"/>
                <w:b/>
                <w:bCs/>
                <w:sz w:val="22"/>
                <w:szCs w:val="22"/>
              </w:rPr>
            </w:pPr>
            <w:r>
              <w:rPr>
                <w:rFonts w:cstheme="minorHAnsi"/>
                <w:sz w:val="22"/>
                <w:szCs w:val="22"/>
              </w:rPr>
              <w:t>Definition of food loss for SDG monitoring</w:t>
            </w:r>
            <w:r>
              <w:rPr>
                <w:rFonts w:cstheme="minorHAnsi"/>
                <w:b/>
                <w:bCs/>
                <w:sz w:val="22"/>
                <w:szCs w:val="22"/>
              </w:rPr>
              <w:t>:</w:t>
            </w:r>
          </w:p>
          <w:p>
            <w:pPr>
              <w:pStyle w:val="35"/>
              <w:rPr>
                <w:rFonts w:cstheme="minorHAnsi"/>
                <w:b/>
                <w:bCs/>
                <w:sz w:val="22"/>
                <w:szCs w:val="22"/>
              </w:rPr>
            </w:pPr>
          </w:p>
          <w:p>
            <w:pPr>
              <w:pStyle w:val="35"/>
              <w:rPr>
                <w:sz w:val="22"/>
                <w:szCs w:val="22"/>
              </w:rPr>
            </w:pPr>
            <w:r>
              <w:rPr>
                <w:b/>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 Losses that occur during storage, transportation and processing, also of imported quantities, are therefore all included. Losses include the commodity as a whole with its non-edible parts.</w:t>
            </w:r>
          </w:p>
          <w:p>
            <w:pPr>
              <w:pStyle w:val="35"/>
              <w:rPr>
                <w:sz w:val="22"/>
                <w:szCs w:val="22"/>
              </w:rPr>
            </w:pPr>
          </w:p>
          <w:p>
            <w:pPr>
              <w:pStyle w:val="35"/>
              <w:rPr>
                <w:rFonts w:cstheme="minorHAnsi"/>
                <w:b/>
                <w:bCs/>
                <w:sz w:val="22"/>
                <w:szCs w:val="22"/>
                <w:u w:val="single"/>
              </w:rPr>
            </w:pPr>
            <w:bookmarkStart w:id="18" w:name="_Hlk64545431"/>
            <w:r>
              <w:rPr>
                <w:rFonts w:cstheme="minorHAnsi"/>
                <w:b/>
                <w:bCs/>
                <w:sz w:val="22"/>
                <w:szCs w:val="22"/>
                <w:u w:val="single"/>
              </w:rPr>
              <w:t>Related concepts</w:t>
            </w:r>
          </w:p>
          <w:bookmarkEnd w:id="18"/>
          <w:p>
            <w:pPr>
              <w:pStyle w:val="35"/>
              <w:rPr>
                <w:rFonts w:cstheme="minorHAnsi"/>
                <w:b/>
                <w:bCs/>
                <w:sz w:val="22"/>
                <w:szCs w:val="22"/>
              </w:rPr>
            </w:pPr>
          </w:p>
          <w:p>
            <w:pPr>
              <w:pStyle w:val="35"/>
              <w:rPr>
                <w:rFonts w:cstheme="minorHAnsi"/>
                <w:sz w:val="22"/>
                <w:szCs w:val="22"/>
              </w:rPr>
            </w:pPr>
            <w:r>
              <w:rPr>
                <w:rFonts w:cstheme="minorHAnsi"/>
                <w:b/>
                <w:bCs/>
                <w:sz w:val="22"/>
                <w:szCs w:val="22"/>
              </w:rPr>
              <w:t>Food</w:t>
            </w:r>
            <w:r>
              <w:rPr>
                <w:rFonts w:cstheme="minorHAnsi"/>
                <w:sz w:val="22"/>
                <w:szCs w:val="22"/>
              </w:rPr>
              <w:t xml:space="preserve"> –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Food loss and waste (FLW)</w:t>
            </w:r>
            <w:r>
              <w:rPr>
                <w:rFonts w:cstheme="minorHAnsi"/>
                <w:sz w:val="22"/>
                <w:szCs w:val="22"/>
              </w:rPr>
              <w:t xml:space="preserve"> – is the decrease in quantity or quality of food. </w:t>
            </w:r>
          </w:p>
          <w:p>
            <w:pPr>
              <w:pStyle w:val="35"/>
              <w:rPr>
                <w:rFonts w:cstheme="minorHAnsi"/>
                <w:sz w:val="22"/>
                <w:szCs w:val="22"/>
              </w:rPr>
            </w:pPr>
          </w:p>
          <w:p>
            <w:pPr>
              <w:pStyle w:val="35"/>
              <w:rPr>
                <w:rFonts w:cstheme="minorHAnsi"/>
                <w:sz w:val="22"/>
                <w:szCs w:val="22"/>
              </w:rPr>
            </w:pPr>
            <w:r>
              <w:rPr>
                <w:rFonts w:cstheme="minorHAnsi"/>
                <w:sz w:val="22"/>
                <w:szCs w:val="22"/>
              </w:rPr>
              <w:t xml:space="preserve"> </w:t>
            </w:r>
            <w:r>
              <w:rPr>
                <w:rFonts w:cstheme="minorHAnsi"/>
                <w:b/>
                <w:bCs/>
                <w:sz w:val="22"/>
                <w:szCs w:val="22"/>
              </w:rPr>
              <w:t>Quantitative food loss and waste</w:t>
            </w:r>
            <w:r>
              <w:rPr>
                <w:rFonts w:cstheme="minorHAnsi"/>
                <w:sz w:val="22"/>
                <w:szCs w:val="22"/>
              </w:rPr>
              <w:t xml:space="preserve"> – is the decrease in mass of food. </w:t>
            </w:r>
          </w:p>
          <w:p>
            <w:pPr>
              <w:pStyle w:val="35"/>
              <w:rPr>
                <w:rFonts w:cstheme="minorHAnsi"/>
                <w:sz w:val="22"/>
                <w:szCs w:val="22"/>
              </w:rPr>
            </w:pPr>
          </w:p>
          <w:p>
            <w:pPr>
              <w:pStyle w:val="35"/>
              <w:rPr>
                <w:rFonts w:cstheme="minorHAnsi"/>
                <w:sz w:val="22"/>
                <w:szCs w:val="22"/>
              </w:rPr>
            </w:pPr>
            <w:r>
              <w:rPr>
                <w:rFonts w:cstheme="minorHAnsi"/>
                <w:b/>
                <w:bCs/>
                <w:sz w:val="22"/>
                <w:szCs w:val="22"/>
              </w:rPr>
              <w:t xml:space="preserve">Pre-harvest </w:t>
            </w:r>
            <w:r>
              <w:rPr>
                <w:rFonts w:cstheme="minorHAnsi"/>
                <w:sz w:val="22"/>
                <w:szCs w:val="22"/>
              </w:rPr>
              <w:t xml:space="preserve">constitutes the time frame between maturity and harvesting. </w:t>
            </w:r>
          </w:p>
          <w:p>
            <w:pPr>
              <w:pStyle w:val="35"/>
              <w:rPr>
                <w:rFonts w:cstheme="minorHAnsi"/>
                <w:sz w:val="22"/>
                <w:szCs w:val="22"/>
              </w:rPr>
            </w:pPr>
          </w:p>
          <w:p>
            <w:pPr>
              <w:pStyle w:val="35"/>
              <w:rPr>
                <w:rFonts w:cstheme="minorHAnsi"/>
                <w:sz w:val="22"/>
                <w:szCs w:val="22"/>
              </w:rPr>
            </w:pPr>
            <w:r>
              <w:rPr>
                <w:rFonts w:cstheme="minorHAnsi"/>
                <w:b/>
                <w:bCs/>
                <w:sz w:val="22"/>
                <w:szCs w:val="22"/>
              </w:rPr>
              <w:t>Harvest/slaughter/catch</w:t>
            </w:r>
            <w:r>
              <w:rPr>
                <w:rFonts w:cstheme="minorHAnsi"/>
                <w:sz w:val="22"/>
                <w:szCs w:val="22"/>
              </w:rPr>
              <w:t xml:space="preserve"> refers to the act of separating the food material from the site of immediate growth or production.</w:t>
            </w:r>
          </w:p>
          <w:p>
            <w:pPr>
              <w:pStyle w:val="35"/>
              <w:rPr>
                <w:rFonts w:cstheme="minorHAnsi"/>
                <w:sz w:val="22"/>
                <w:szCs w:val="22"/>
              </w:rPr>
            </w:pPr>
          </w:p>
          <w:p>
            <w:pPr>
              <w:pStyle w:val="35"/>
              <w:rPr>
                <w:b/>
                <w:sz w:val="22"/>
                <w:szCs w:val="22"/>
                <w:u w:val="single"/>
              </w:rPr>
            </w:pPr>
            <w:r>
              <w:rPr>
                <w:b/>
                <w:sz w:val="22"/>
                <w:szCs w:val="22"/>
                <w:u w:val="single"/>
              </w:rPr>
              <w:t xml:space="preserve">Food Loss Index scope </w:t>
            </w:r>
            <w:r>
              <w:rPr>
                <w:rFonts w:cstheme="minorHAnsi"/>
                <w:b/>
                <w:bCs/>
                <w:sz w:val="22"/>
                <w:szCs w:val="22"/>
                <w:u w:val="single"/>
              </w:rPr>
              <w:t>and boundaries</w:t>
            </w:r>
          </w:p>
          <w:p>
            <w:pPr>
              <w:pStyle w:val="35"/>
              <w:rPr>
                <w:rFonts w:cstheme="minorHAnsi"/>
                <w:sz w:val="22"/>
                <w:szCs w:val="22"/>
              </w:rPr>
            </w:pPr>
          </w:p>
          <w:p>
            <w:pPr>
              <w:pStyle w:val="35"/>
              <w:numPr>
                <w:ilvl w:val="0"/>
                <w:numId w:val="1"/>
              </w:numPr>
              <w:rPr>
                <w:sz w:val="22"/>
                <w:szCs w:val="22"/>
              </w:rPr>
            </w:pPr>
            <w:r>
              <w:rPr>
                <w:sz w:val="22"/>
                <w:szCs w:val="22"/>
              </w:rPr>
              <w:t xml:space="preserve">The </w:t>
            </w:r>
            <w:r>
              <w:rPr>
                <w:rFonts w:cstheme="minorHAnsi"/>
                <w:sz w:val="22"/>
                <w:szCs w:val="22"/>
              </w:rPr>
              <w:t xml:space="preserve">scope of the </w:t>
            </w:r>
            <w:r>
              <w:rPr>
                <w:sz w:val="22"/>
                <w:szCs w:val="22"/>
              </w:rPr>
              <w:t xml:space="preserve">Food Loss Index </w:t>
            </w:r>
            <w:r>
              <w:rPr>
                <w:rFonts w:cstheme="minorHAnsi"/>
                <w:sz w:val="22"/>
                <w:szCs w:val="22"/>
              </w:rPr>
              <w:t>starts on the production site</w:t>
            </w:r>
            <w:r>
              <w:rPr>
                <w:sz w:val="22"/>
                <w:szCs w:val="22"/>
              </w:rPr>
              <w:t xml:space="preserve"> with postharvest</w:t>
            </w:r>
            <w:r>
              <w:rPr>
                <w:rFonts w:cstheme="minorHAnsi"/>
                <w:sz w:val="22"/>
                <w:szCs w:val="22"/>
              </w:rPr>
              <w:t>/slaughter/catch</w:t>
            </w:r>
            <w:r>
              <w:rPr>
                <w:sz w:val="22"/>
                <w:szCs w:val="22"/>
              </w:rPr>
              <w:t xml:space="preserve"> operations up to but not including the retail level,</w:t>
            </w:r>
            <w:r>
              <w:rPr>
                <w:rFonts w:cstheme="minorHAnsi"/>
                <w:sz w:val="22"/>
                <w:szCs w:val="22"/>
              </w:rPr>
              <w:t xml:space="preserve"> in line with the Food Balance Sheets conceptual framework.</w:t>
            </w:r>
          </w:p>
          <w:p>
            <w:pPr>
              <w:pStyle w:val="35"/>
              <w:numPr>
                <w:ilvl w:val="0"/>
                <w:numId w:val="1"/>
              </w:numPr>
              <w:rPr>
                <w:sz w:val="22"/>
                <w:szCs w:val="22"/>
              </w:rPr>
            </w:pPr>
            <w:r>
              <w:rPr>
                <w:sz w:val="22"/>
                <w:szCs w:val="22"/>
              </w:rPr>
              <w:t xml:space="preserve">The index </w:t>
            </w:r>
            <w:r>
              <w:rPr>
                <w:rFonts w:cstheme="minorHAnsi"/>
                <w:sz w:val="22"/>
                <w:szCs w:val="22"/>
              </w:rPr>
              <w:t>covers five food groups and</w:t>
            </w:r>
            <w:r>
              <w:rPr>
                <w:sz w:val="22"/>
                <w:szCs w:val="22"/>
              </w:rPr>
              <w:t xml:space="preserve"> 10 key commodities set by the countries. </w:t>
            </w:r>
          </w:p>
          <w:p>
            <w:pPr>
              <w:pStyle w:val="35"/>
              <w:numPr>
                <w:ilvl w:val="0"/>
                <w:numId w:val="1"/>
              </w:numPr>
              <w:rPr>
                <w:sz w:val="22"/>
                <w:szCs w:val="22"/>
              </w:rPr>
            </w:pPr>
            <w:r>
              <w:rPr>
                <w:rFonts w:cstheme="minorHAnsi"/>
                <w:sz w:val="22"/>
                <w:szCs w:val="22"/>
              </w:rPr>
              <w:t xml:space="preserve">Harvest losses can be included in the index at the </w:t>
            </w:r>
            <w:r>
              <w:rPr>
                <w:sz w:val="22"/>
                <w:szCs w:val="22"/>
              </w:rPr>
              <w:t>country level</w:t>
            </w:r>
            <w:r>
              <w:rPr>
                <w:rFonts w:cstheme="minorHAnsi"/>
                <w:sz w:val="22"/>
                <w:szCs w:val="22"/>
              </w:rPr>
              <w:t xml:space="preserve"> only.</w:t>
            </w:r>
            <w:r>
              <w:rPr>
                <w:sz w:val="22"/>
                <w:szCs w:val="22"/>
              </w:rPr>
              <w:t xml:space="preserve"> </w:t>
            </w:r>
          </w:p>
          <w:p>
            <w:pPr>
              <w:pStyle w:val="35"/>
              <w:numPr>
                <w:ilvl w:val="0"/>
                <w:numId w:val="1"/>
              </w:numPr>
              <w:rPr>
                <w:sz w:val="22"/>
                <w:szCs w:val="22"/>
              </w:rPr>
            </w:pPr>
            <w:r>
              <w:rPr>
                <w:sz w:val="22"/>
                <w:szCs w:val="22"/>
              </w:rPr>
              <w:t xml:space="preserve">Pre-harvest losses are </w:t>
            </w:r>
            <w:r>
              <w:rPr>
                <w:rFonts w:cstheme="minorHAnsi"/>
                <w:sz w:val="22"/>
                <w:szCs w:val="22"/>
              </w:rPr>
              <w:t>out of scope</w:t>
            </w:r>
            <w:r>
              <w:rPr>
                <w:sz w:val="22"/>
                <w:szCs w:val="22"/>
              </w:rPr>
              <w:t>.</w:t>
            </w:r>
          </w:p>
          <w:p>
            <w:pPr>
              <w:pStyle w:val="35"/>
              <w:numPr>
                <w:ilvl w:val="0"/>
                <w:numId w:val="1"/>
              </w:numPr>
              <w:rPr>
                <w:sz w:val="22"/>
                <w:szCs w:val="22"/>
              </w:rPr>
            </w:pPr>
            <w:r>
              <w:rPr>
                <w:rFonts w:cstheme="minorHAnsi"/>
                <w:sz w:val="22"/>
                <w:szCs w:val="22"/>
              </w:rPr>
              <w:t>Sub-Indicator 12.3.1(b)</w:t>
            </w:r>
            <w:r>
              <w:rPr>
                <w:sz w:val="22"/>
                <w:szCs w:val="22"/>
              </w:rPr>
              <w:t xml:space="preserve"> Food Waste Index </w:t>
            </w:r>
            <w:r>
              <w:rPr>
                <w:rFonts w:cstheme="minorHAnsi"/>
                <w:sz w:val="22"/>
                <w:szCs w:val="22"/>
              </w:rPr>
              <w:t>covers</w:t>
            </w:r>
            <w:r>
              <w:rPr>
                <w:sz w:val="22"/>
                <w:szCs w:val="22"/>
              </w:rPr>
              <w:t xml:space="preserve"> food waste at the retail and consumption level.</w:t>
            </w:r>
          </w:p>
          <w:p>
            <w:pPr>
              <w:pStyle w:val="35"/>
              <w:ind w:left="360"/>
              <w:rPr>
                <w:sz w:val="22"/>
                <w:szCs w:val="22"/>
              </w:rPr>
            </w:pPr>
          </w:p>
          <w:p>
            <w:pPr>
              <w:pStyle w:val="35"/>
              <w:ind w:left="360"/>
              <w:rPr>
                <w:sz w:val="22"/>
                <w:szCs w:val="22"/>
              </w:rPr>
            </w:pPr>
            <w:r>
              <w:rPr>
                <w:sz w:val="22"/>
                <w:szCs w:val="22"/>
              </w:rPr>
              <w:t>Note: Figures available are estimates. No Post-Harvest Survey has been conducted over the past 20 years. However, a survey is to be conducted in the year 2019. So the current data are based on projections</w:t>
            </w:r>
          </w:p>
          <w:p>
            <w:pPr>
              <w:pStyle w:val="35"/>
              <w:jc w:val="center"/>
              <w:rPr>
                <w:sz w:val="22"/>
                <w:szCs w:val="22"/>
              </w:rPr>
            </w:pPr>
          </w:p>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Food waste index</w:t>
            </w:r>
          </w:p>
          <w:p>
            <w:pPr>
              <w:pStyle w:val="19"/>
              <w:rPr>
                <w:rFonts w:hint="default" w:ascii="Calibri" w:hAnsi="Calibri" w:cs="Calibri"/>
                <w:color w:val="000000"/>
                <w:sz w:val="22"/>
                <w:szCs w:val="22"/>
              </w:rPr>
            </w:pPr>
            <w:r>
              <w:rPr>
                <w:rFonts w:hint="default" w:ascii="Calibri" w:hAnsi="Calibri" w:cs="Calibri"/>
                <w:color w:val="000000"/>
                <w:sz w:val="22"/>
                <w:szCs w:val="22"/>
              </w:rPr>
              <w:t>The indicator aims to measure the total amount of food that is wasted in tonnes. It complements SDG 12.3.1(a) on Food Loss (which is under the custodianship of FAO). Both indicators look to divide the food value chain and measure the efficiency of the food system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in the waste stream: Estimated from a global model, based on regional coefficients for food waste in the total waste stream.</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Level II indicators</w:t>
            </w:r>
          </w:p>
          <w:p>
            <w:pPr>
              <w:pStyle w:val="19"/>
              <w:rPr>
                <w:rFonts w:hint="default" w:ascii="Calibri" w:hAnsi="Calibri" w:cs="Calibri"/>
                <w:color w:val="000000"/>
                <w:sz w:val="22"/>
                <w:szCs w:val="22"/>
              </w:rPr>
            </w:pPr>
            <w:r>
              <w:rPr>
                <w:rFonts w:hint="default" w:ascii="Calibri" w:hAnsi="Calibri" w:cs="Calibri"/>
                <w:color w:val="000000"/>
                <w:sz w:val="22"/>
                <w:szCs w:val="22"/>
              </w:rPr>
              <w:t>Food waste generation by supply chain stage: Collect data on food waste generation from supply chain stages based on national priorities</w:t>
            </w:r>
          </w:p>
          <w:p>
            <w:pPr>
              <w:pStyle w:val="19"/>
              <w:rPr>
                <w:rFonts w:hint="default" w:ascii="Calibri" w:hAnsi="Calibri" w:cs="Calibri"/>
                <w:color w:val="000000"/>
                <w:sz w:val="22"/>
                <w:szCs w:val="22"/>
              </w:rPr>
            </w:pPr>
            <w:r>
              <w:rPr>
                <w:rFonts w:hint="default" w:ascii="Calibri" w:hAnsi="Calibri" w:cs="Calibri"/>
                <w:color w:val="000000"/>
                <w:sz w:val="22"/>
                <w:szCs w:val="22"/>
              </w:rPr>
              <w:t>A full methodology for this indicator is available in the document entitled, “Global Chemicals and Waste Indicator Review Document (UNEP, forthcoming)”.</w:t>
            </w:r>
          </w:p>
          <w:p>
            <w:pPr>
              <w:pStyle w:val="19"/>
              <w:rPr>
                <w:rFonts w:hint="default" w:ascii="Calibri" w:hAnsi="Calibri" w:cs="Calibri"/>
                <w:color w:val="000000"/>
                <w:sz w:val="22"/>
                <w:szCs w:val="22"/>
              </w:rPr>
            </w:pPr>
            <w:r>
              <w:rPr>
                <w:rFonts w:hint="default" w:ascii="Calibri" w:hAnsi="Calibri" w:cs="Calibri"/>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Food: Any substance—whether processed, semi-processed, or raw—that is intended for human consumption. “Food” includes drink and any substance that has been used in the manufacture, preparation, or treatment of food. “Food” also includes material that has spoiled and is therefore no longer fit for human consumption. It does not include cosmetics, tobacco, or substances used only as drugs. It does not include processing agents used along the food supply chain, for example, water to clean or cook raw materials in factories or at home.</w:t>
            </w:r>
          </w:p>
          <w:p>
            <w:pPr>
              <w:pStyle w:val="19"/>
              <w:rPr>
                <w:rFonts w:hint="default" w:ascii="Calibri" w:hAnsi="Calibri" w:cs="Calibri"/>
                <w:color w:val="000000"/>
                <w:sz w:val="22"/>
                <w:szCs w:val="22"/>
              </w:rPr>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p>
            <w:pPr>
              <w:pStyle w:val="19"/>
            </w:pPr>
            <w:r>
              <w:rPr>
                <w:rFonts w:hint="default" w:ascii="Calibri" w:hAnsi="Calibri" w:cs="Calibri"/>
                <w:color w:val="000000"/>
                <w:sz w:val="22"/>
                <w:szCs w:val="22"/>
              </w:rPr>
              <w:t>Municipal Solid Waste (MSW) includes waste originating from households, commerce, and trade, small businesses, office buildings and institutions (schools, hospitals, government buildings). It also includes bulky waste (e.g., old furniture, mattresses) and waste from selected municipal services, e.g., waste from park and garden maintenance, waste from street cleaning services (street sweepings, the content of litter containers, market cleansing waste), if managed as waste. Further information on municipal solid waste is defined in the SDG indicator methodology for 11.6.1.</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Food loss: Percentage; Food waste: Percentage (%), Tonnes, KG</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Annual Progress Report, Ministry of Food and Agriculture,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iCs/>
                <w:lang w:val="en-GB"/>
              </w:rPr>
              <w:t>Ministry of Food and Agriculture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812575"/>
            <w:bookmarkStart w:id="23" w:name="_Toc36812688"/>
            <w:bookmarkStart w:id="24" w:name="_Toc37932747"/>
            <w:bookmarkStart w:id="25" w:name="_Toc36655612"/>
            <w:bookmarkStart w:id="26" w:name="_Toc36813075"/>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2030 Sustainable Development Agenda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 and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6655613"/>
            <w:bookmarkStart w:id="28" w:name="_Toc36812576"/>
            <w:bookmarkStart w:id="29" w:name="_Toc37932748"/>
            <w:bookmarkStart w:id="30" w:name="_Toc36812689"/>
            <w:bookmarkStart w:id="31" w:name="_Toc36813076"/>
            <w:r>
              <w:rPr>
                <w:sz w:val="32"/>
                <w:szCs w:val="32"/>
              </w:rPr>
              <w:t>5. Data availability and disaggregation</w:t>
            </w:r>
            <w:bookmarkEnd w:id="27"/>
            <w:bookmarkEnd w:id="28"/>
            <w:bookmarkEnd w:id="29"/>
            <w:bookmarkEnd w:id="30"/>
            <w:bookmarkEnd w:id="31"/>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w:t>
            </w:r>
            <w:bookmarkStart w:id="40" w:name="_GoBack"/>
            <w:bookmarkEnd w:id="40"/>
            <w:r>
              <w:rPr>
                <w:rStyle w:val="18"/>
              </w:rPr>
              <w:t>n.org)</w:t>
            </w:r>
            <w:r>
              <w:rPr>
                <w:rStyle w:val="18"/>
              </w:rPr>
              <w:fldChar w:fldCharType="end"/>
            </w:r>
          </w:p>
        </w:tc>
      </w:tr>
      <w:permEnd w:id="47"/>
    </w:tbl>
    <w:p>
      <w:pPr>
        <w:pStyle w:val="2"/>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5B4652B3"/>
    <w:multiLevelType w:val="multilevel"/>
    <w:tmpl w:val="5B4652B3"/>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1222</TotalTime>
  <ScaleCrop>false</ScaleCrop>
  <LinksUpToDate>false</LinksUpToDate>
  <CharactersWithSpaces>1446214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2022-09-22T10:13:32Z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9E4DF0A1CFEF4445BCE372CED99DF9C7</vt:lpwstr>
  </property>
</Properties>
</file>