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6812684"/>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333333"/>
                <w:sz w:val="22"/>
                <w:szCs w:val="22"/>
                <w:lang w:eastAsia="en-GB"/>
              </w:rPr>
              <w:t>Target 16.1: 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color w:val="auto"/>
              </w:rPr>
            </w:pPr>
            <w:r>
              <w:rPr>
                <w:rFonts w:eastAsia="Times New Roman" w:cs="Times New Roman"/>
                <w:color w:val="auto"/>
                <w:lang w:eastAsia="en-GB"/>
              </w:rPr>
              <w:t>Indicator 16.1.3: Proportion of population subjected to physical, psychological or sexual violence in the previous 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hint="default"/>
                <w:lang w:val="en-CA"/>
              </w:rPr>
            </w:pPr>
            <w:r>
              <w:rPr>
                <w:rFonts w:eastAsia="Times New Roman" w:cs="Times New Roman"/>
                <w:color w:val="4A4A4A"/>
                <w:sz w:val="22"/>
                <w:szCs w:val="22"/>
                <w:lang w:eastAsia="en-GB"/>
              </w:rPr>
              <w:t>16.2, 16.3, 16.a, 5.2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color w:val="262626"/>
              </w:rPr>
            </w:pPr>
            <w:r>
              <w:rPr>
                <w:rFonts w:cstheme="minorHAnsi"/>
                <w:color w:val="262626"/>
              </w:rPr>
              <w:t>Institute of Development Studies</w:t>
            </w:r>
          </w:p>
          <w:p>
            <w:r>
              <w:rPr>
                <w:rFonts w:cstheme="minorHAnsi"/>
                <w:color w:val="262626"/>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total number of persons who have been victim of physical, psychological or sexual violence in the previous 12 months, as a share of the total population.</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measures the prevalence of victimization from physical, psychological or sexual violence</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Physical violence: This concept is equivalent to the concept of physical assault, as defined in the International Classification of Crime for Statistical Purposes (ICCS): the intentional or reckless application of physical force inflicted upon the body of a person. This includes serious and minor bodily injuries and serious and minor physical force. According to the ICCS, these are defined as: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Serious bodily injury, at minimum, includes gunshot or bullet wounds; knife or stab wounds; severed limbs; broken bones or teeth knocked out; internal injuries; being knocked unconscious; and other severe or critical injuries.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Serious physical force, at minimum, includes being shot; stabbed or cut; hit by an object; hit by a thrown object; poisoning and other applications of force with the potential to cause serious bodily injury.</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Minor bodily injury, at minimum, includes bruises, cuts, scratches, chipped teeth, swelling, black eye and other minor injuries.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Minor physical force, at minimum, includes hitting, slapping, pushing, tripping, knocking down and other applications of force with the potential to cause minor bodily injury.</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Sexual violence (ICCS): Unwanted sexual act, attempt to obtain a sexual act, or contact or communication with unwanted sexual attention without valid consent or with consent as a result of intimidation, force, fraud, coercion, threat, deception, use of drugs or alcohol, or abuse of power or of a position of vulnerability. This includes rape and other forms of sexual assault.</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Psychological violence: There is as yet no consensus at the international level of the precise definition of psychological violence and there is as yet no generally well-established methodology to measure psychological violence.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color w:val="262626"/>
              </w:rPr>
              <w:t>Institute of Development Studies, GSS and Associates, 2016</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7932747"/>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lang w:eastAsia="en-GB"/>
              </w:rPr>
              <w:t>This indicator measures the prevalence of victimization from physical, sexual (and, possibly, psychological) violence. It is globally relevant as violence in various forms occurs in all regions and countries of the world. Given that acts of violence are heavily underreported to the authorities, this indicator needs to be based on data collected through sample surveys of the adult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Number of survey respondents who have been victim of physical, psychological or sexual violence in the previous 12 months, divided by the total number of survey respondents.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3076"/>
            <w:bookmarkStart w:id="28" w:name="_Toc36812576"/>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4EA4"/>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1C82"/>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4C1"/>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4B4C"/>
    <w:rsid w:val="00F54570"/>
    <w:rsid w:val="00F75853"/>
    <w:rsid w:val="00F7784D"/>
    <w:rsid w:val="00F8144F"/>
    <w:rsid w:val="00F8462A"/>
    <w:rsid w:val="00F862A7"/>
    <w:rsid w:val="00F93763"/>
    <w:rsid w:val="00F939A2"/>
    <w:rsid w:val="00F96E8D"/>
    <w:rsid w:val="00FA20D9"/>
    <w:rsid w:val="00FB03D0"/>
    <w:rsid w:val="00FD54D7"/>
    <w:rsid w:val="00FF642D"/>
    <w:rsid w:val="2EF956A3"/>
    <w:rsid w:val="53C971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43AD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215802</Words>
  <Characters>1230076</Characters>
  <Lines>10250</Lines>
  <Paragraphs>2885</Paragraphs>
  <TotalTime>3</TotalTime>
  <ScaleCrop>false</ScaleCrop>
  <LinksUpToDate>false</LinksUpToDate>
  <CharactersWithSpaces>1442993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2021-11-05T11:03:00Z</dcterms:created>
  <dc:creator>Fanning, Stephen B (JMD)</dc:creator>
  <cp:lastModifiedBy>Doreen</cp:lastModifiedBy>
  <cp:lastPrinted>2020-04-16T14:23:00Z</cp:lastPrinted>
  <dcterms:modified xsi:type="dcterms:W3CDTF">2022-09-22T18:00:07Z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EA66070AC2D74C078193CCC9BB2694C7</vt:lpwstr>
  </property>
</Properties>
</file>