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2.a.2 Total official flows (disbursements) for agriculture, by recipient countries [2.a.2] (DC_TOF_AGRL)</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812684"/>
            <w:bookmarkStart w:id="5" w:name="_Toc36655608"/>
            <w:bookmarkStart w:id="6" w:name="_Toc37932743"/>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rPr>
                <w:rFonts w:hint="default"/>
              </w:rPr>
              <w:t>Goal 2: End hunger, achieve food security and improved nutrition and promote sustainable agriculture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0"/>
              <w:outlineLvl w:val="4"/>
            </w:pPr>
            <w:r>
              <w:rPr>
                <w:rFonts w:eastAsia="Times New Roman" w:cs="Times New Roman"/>
                <w:color w:val="333333"/>
                <w:lang w:eastAsia="en-GB"/>
              </w:rPr>
              <w:t>Target 2.a: Increase investment, including through enhanced international cooperation, in rural infrastructure, agricultural research and extension services, technology development and plant and livestock gene banks in order to enhance agricultural productive capacity in developing countries, in particular least developed countries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2.a.2: Total official flows (official development assistance plus other official flows) to the agriculture sector</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shd w:val="clear" w:color="auto" w:fill="FFFFFF"/>
              <w:spacing w:after="0"/>
            </w:pPr>
            <w:r>
              <w:rPr>
                <w:rFonts w:eastAsia="Times New Roman" w:cs="Times New Roman"/>
                <w:color w:val="4A4A4A"/>
                <w:sz w:val="22"/>
                <w:szCs w:val="22"/>
                <w:lang w:eastAsia="en-GB"/>
              </w:rPr>
              <w:t>Organisation for Economic Co-operation and Development (OECD)</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7"/>
        <w:gridCol w:w="5840"/>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813072"/>
            <w:bookmarkStart w:id="10" w:name="_Toc36812685"/>
            <w:bookmarkStart w:id="11" w:name="_Toc36655609"/>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CA"/>
              </w:rPr>
            </w:pPr>
            <w:r>
              <w:t>Ghana Investment Promotion Centre</w:t>
            </w:r>
            <w:r>
              <w:rPr>
                <w:rFonts w:hint="default"/>
                <w:lang w:val="en-CA"/>
              </w:rPr>
              <w:t xml:space="preserve"> (GIPC)</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89"/>
        <w:gridCol w:w="5908"/>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812686"/>
            <w:bookmarkStart w:id="15" w:name="_Toc36813073"/>
            <w:bookmarkStart w:id="16" w:name="_Toc36655610"/>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rPr>
                <w:rFonts w:hint="default"/>
                <w:b/>
                <w:bCs/>
                <w:lang w:val="en-CA"/>
              </w:rPr>
            </w:pPr>
            <w:r>
              <w:rPr>
                <w:rFonts w:hint="default"/>
                <w:b/>
                <w:bCs/>
                <w:lang w:val="en-CA"/>
              </w:rPr>
              <w:t>Definition:</w:t>
            </w:r>
          </w:p>
          <w:p>
            <w:r>
              <w:t>Percentage of total Foreign Direct Investment that flows into</w:t>
            </w:r>
            <w:r>
              <w:rPr>
                <w:rFonts w:hint="default"/>
                <w:lang w:val="en-CA"/>
              </w:rPr>
              <w:t xml:space="preserve"> the</w:t>
            </w:r>
            <w:r>
              <w:t xml:space="preserve"> agriculture sector refers to the proportion of total private capital flows from abroad/overseas that goes into the agricultural sector per annum, where agriculture entails Crops, Livestock, Fishing, Forestry and Logging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cstheme="minorHAnsi"/>
                <w:lang w:val="en-CA"/>
              </w:rPr>
            </w:pPr>
            <w:r>
              <w:t>Ghana Investment Promotion Centre</w:t>
            </w:r>
            <w:r>
              <w:rPr>
                <w:rFonts w:hint="default"/>
                <w:lang w:val="en-CA"/>
              </w:rPr>
              <w:t xml:space="preserve"> (GIPC) </w:t>
            </w:r>
            <w:r>
              <w:rPr>
                <w:rFonts w:eastAsia="Arial" w:cstheme="minorHAnsi"/>
              </w:rPr>
              <w:t>Annual Report</w:t>
            </w:r>
            <w:r>
              <w:rPr>
                <w:rFonts w:hint="default" w:eastAsia="Arial" w:cstheme="minorHAnsi"/>
                <w:lang w:val="en-CA"/>
              </w:rPr>
              <w:t xml:space="preserve">, </w:t>
            </w:r>
            <w:r>
              <w:rPr>
                <w:rFonts w:eastAsia="Arial" w:cstheme="minorHAnsi"/>
              </w:rPr>
              <w:t xml:space="preserve">2019 </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r>
              <w:t>Annually</w:t>
            </w: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Ghana Investment Promotion Centre</w:t>
            </w:r>
            <w:r>
              <w:rPr>
                <w:rFonts w:hint="default"/>
                <w:lang w:val="en-CA"/>
              </w:rPr>
              <w:t xml:space="preserve"> (GIPC)</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7932747"/>
            <w:bookmarkStart w:id="22" w:name="_Toc36813075"/>
            <w:bookmarkStart w:id="23" w:name="_Toc36812575"/>
            <w:bookmarkStart w:id="24" w:name="_Toc36655612"/>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rPr>
                <w:rFonts w:cstheme="minorHAnsi"/>
              </w:rPr>
            </w:p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rPr>
                <w:rFonts w:cstheme="minorHAnsi"/>
              </w:rPr>
            </w:p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rPr>
                <w:rFonts w:cstheme="minorHAnsi"/>
              </w:rPr>
            </w:pPr>
            <w:r>
              <w:rPr>
                <w:rFonts w:cstheme="minorHAnsi"/>
              </w:rPr>
              <w:t>The indicator, Percentage of total Foreign Direct Investment that flows into</w:t>
            </w:r>
            <w:r>
              <w:rPr>
                <w:rFonts w:hint="default" w:cstheme="minorHAnsi"/>
                <w:lang w:val="en-CA"/>
              </w:rPr>
              <w:t xml:space="preserve"> the</w:t>
            </w:r>
            <w:bookmarkStart w:id="38" w:name="_GoBack"/>
            <w:bookmarkEnd w:id="38"/>
            <w:r>
              <w:rPr>
                <w:rFonts w:cstheme="minorHAnsi"/>
              </w:rPr>
              <w:t xml:space="preserve"> agriculture sector, is calculated by dividing total agricultural foreign direct investment inflows by the overall total foreign direct investment inflows registered.</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2689"/>
            <w:bookmarkStart w:id="27" w:name="_Toc36812576"/>
            <w:bookmarkStart w:id="28" w:name="_Toc37932748"/>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t>The</w:t>
            </w:r>
            <w:r>
              <w:rPr>
                <w:rFonts w:hint="default"/>
                <w:lang w:val="en-CA"/>
              </w:rPr>
              <w:t>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"https://unstats.un.org/sdgs/metadata/" </w:instrText>
            </w:r>
            <w:r>
              <w:fldChar w:fldCharType="separate"/>
            </w:r>
            <w:r>
              <w:rPr>
                <w:rStyle w:val="18"/>
              </w:rPr>
              <w:t>SDG Indicators — SDG Indicators (un.org)</w:t>
            </w:r>
            <w:r>
              <w:rPr>
                <w:rStyle w:val="18"/>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87A8C"/>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36F6"/>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3BDD"/>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2AC0"/>
    <w:rsid w:val="00A3532A"/>
    <w:rsid w:val="00A35656"/>
    <w:rsid w:val="00A36E8B"/>
    <w:rsid w:val="00A4314D"/>
    <w:rsid w:val="00A5114C"/>
    <w:rsid w:val="00A64C04"/>
    <w:rsid w:val="00A67357"/>
    <w:rsid w:val="00A804A0"/>
    <w:rsid w:val="00A91915"/>
    <w:rsid w:val="00A92C73"/>
    <w:rsid w:val="00AA38A9"/>
    <w:rsid w:val="00AB45E5"/>
    <w:rsid w:val="00AB65AE"/>
    <w:rsid w:val="00AD26C4"/>
    <w:rsid w:val="00AE7A74"/>
    <w:rsid w:val="00AF2FE1"/>
    <w:rsid w:val="00B04533"/>
    <w:rsid w:val="00B137EE"/>
    <w:rsid w:val="00B13CEC"/>
    <w:rsid w:val="00B66AF3"/>
    <w:rsid w:val="00B71AEA"/>
    <w:rsid w:val="00B74489"/>
    <w:rsid w:val="00B8102F"/>
    <w:rsid w:val="00B818CA"/>
    <w:rsid w:val="00B9347F"/>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265A0"/>
    <w:rsid w:val="00F54570"/>
    <w:rsid w:val="00F75853"/>
    <w:rsid w:val="00F7784D"/>
    <w:rsid w:val="00F8144F"/>
    <w:rsid w:val="00F8462A"/>
    <w:rsid w:val="00F862A7"/>
    <w:rsid w:val="00F93763"/>
    <w:rsid w:val="00F939A2"/>
    <w:rsid w:val="00F96E8D"/>
    <w:rsid w:val="00FA20D9"/>
    <w:rsid w:val="00FB03D0"/>
    <w:rsid w:val="00FD54D7"/>
    <w:rsid w:val="00FF642D"/>
    <w:rsid w:val="1B870D4C"/>
    <w:rsid w:val="1D1C616B"/>
    <w:rsid w:val="28FC347F"/>
    <w:rsid w:val="2B5933CE"/>
    <w:rsid w:val="782F24DE"/>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 w:type="character" w:customStyle="1" w:styleId="53">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02057"/>
    <w:rsid w:val="00296525"/>
    <w:rsid w:val="0036646D"/>
    <w:rsid w:val="006153AA"/>
    <w:rsid w:val="0064052E"/>
    <w:rsid w:val="00705A94"/>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215626</Words>
  <Characters>1229069</Characters>
  <Lines>10242</Lines>
  <Paragraphs>2883</Paragraphs>
  <TotalTime>9</TotalTime>
  <ScaleCrop>false</ScaleCrop>
  <LinksUpToDate>false</LinksUpToDate>
  <CharactersWithSpaces>1441812</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2021-10-18T11:20:00Z</dcterms:created>
  <dc:creator>Fanning, Stephen B (JMD)</dc:creator>
  <cp:lastModifiedBy>Doreen</cp:lastModifiedBy>
  <cp:lastPrinted>2020-04-16T14:23:00Z</cp:lastPrinted>
  <dcterms:modified xsi:type="dcterms:W3CDTF">2022-11-08T16:19:54Z</dcterms:modified>
  <cp:revision>6</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17C8F400C18A4B6491C2481AA395404D</vt:lpwstr>
  </property>
</Properties>
</file>