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10.7.4 Proportion of the population who are refugees, by country of origin [10.7.4] (SM_POP_REFG_OR)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rPr>
                <w:color w:val="000000"/>
              </w:rP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rPr>
                <w:color w:val="000000"/>
              </w:rPr>
              <w:t>Indicator 10.7.4: Proportion of the population who are refugees, by country of origin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The indicator is defined as the total count of population who have been recognized as refugees as a proportion of the total population of their country of origin, expressed per 100,000 population.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Refugees refers to persons recognized by the Government and/or UNHCR, or those in a refugee-like situation.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Population refers to total resident population in a given country in a given year.</w:t>
            </w:r>
          </w:p>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Refugees recognized by the Government and/or UNHCR include:</w:t>
            </w:r>
          </w:p>
          <w:p>
            <w:pPr>
              <w:pStyle w:val="19"/>
              <w:jc w:val="both"/>
              <w:rPr>
                <w:rFonts w:hint="default" w:ascii="Calibri" w:hAnsi="Calibri" w:cs="Calibri"/>
                <w:color w:val="000000"/>
                <w:sz w:val="22"/>
                <w:szCs w:val="22"/>
              </w:rPr>
            </w:pPr>
            <w:r>
              <w:rPr>
                <w:rFonts w:hint="default" w:ascii="Calibri" w:hAnsi="Calibri" w:cs="Calibri"/>
                <w:color w:val="000000"/>
                <w:sz w:val="22"/>
                <w:szCs w:val="22"/>
              </w:rPr>
              <w:t>(a) persons recognized as refugees by Governments having ratified the 1951 United Nations Convention Relating to the Status of Refugees, and/or its 1967 Protocol;</w:t>
            </w:r>
          </w:p>
          <w:p>
            <w:pPr>
              <w:pStyle w:val="19"/>
              <w:jc w:val="both"/>
              <w:rPr>
                <w:rFonts w:hint="default" w:ascii="Calibri" w:hAnsi="Calibri" w:cs="Calibri"/>
                <w:color w:val="000000"/>
                <w:sz w:val="22"/>
                <w:szCs w:val="22"/>
              </w:rPr>
            </w:pPr>
            <w:r>
              <w:rPr>
                <w:rFonts w:hint="default" w:ascii="Calibri" w:hAnsi="Calibri" w:cs="Calibri"/>
                <w:color w:val="000000"/>
                <w:sz w:val="22"/>
                <w:szCs w:val="22"/>
              </w:rPr>
              <w:t>(b) persons recognized as refugees under the 1969 Organization of African Unity (OAU) Convention Governing the Specific Aspects of Refugee Problems in Africa;</w:t>
            </w:r>
          </w:p>
          <w:p>
            <w:pPr>
              <w:pStyle w:val="19"/>
              <w:jc w:val="both"/>
              <w:rPr>
                <w:rFonts w:hint="default" w:ascii="Calibri" w:hAnsi="Calibri" w:cs="Calibri"/>
                <w:color w:val="000000"/>
                <w:sz w:val="22"/>
                <w:szCs w:val="22"/>
              </w:rPr>
            </w:pPr>
            <w:r>
              <w:rPr>
                <w:rFonts w:hint="default" w:ascii="Calibri" w:hAnsi="Calibri" w:cs="Calibri"/>
                <w:color w:val="000000"/>
                <w:sz w:val="22"/>
                <w:szCs w:val="22"/>
              </w:rPr>
              <w:t>(c) those recognized in accordance with the principles enshrined in the Cartagena Declaration;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(d) persons recognized by UNHCR as refugees in accordance with its Statute (otherwise referred to as “mandate” refugees);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(e) those who have been granted a complementary form of protection (i.e. non-Convention);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(f) persons who have been granted temporary protection on a group basis;</w:t>
            </w:r>
          </w:p>
          <w:p>
            <w:pPr>
              <w:pStyle w:val="19"/>
              <w:jc w:val="both"/>
            </w:pPr>
            <w:r>
              <w:rPr>
                <w:rFonts w:hint="default" w:ascii="Calibri" w:hAnsi="Calibri" w:cs="Calibri"/>
                <w:color w:val="000000"/>
                <w:sz w:val="22"/>
                <w:szCs w:val="22"/>
              </w:rPr>
              <w:t>Persons in a refugee-like situation refer to those outside their territory of origin who face protection risks similar to those of refugees, but who, for practical or other reasons, have not been formally recognized or issued documentation to that effect.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 xml:space="preserve"> </w:t>
            </w:r>
            <w:r>
              <w:rPr>
                <w:rFonts w:hint="default"/>
                <w:color w:val="000000"/>
                <w:lang w:val="en-CA"/>
              </w:rPr>
              <w:t>P</w:t>
            </w:r>
            <w:r>
              <w:rPr>
                <w:color w:val="000000"/>
              </w:rPr>
              <w:t xml:space="preserve">er 100,000 population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color w:val="000000"/>
              </w:rPr>
              <w:t>United Nations High Commissioner for Refugees (UNHCR)</w:t>
            </w:r>
            <w:r>
              <w:t xml:space="preserve"> Refugee Data Finder,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Forced displacement as a result of conflict, violence, and other causes undermine sustainable development, and can increase the risk of regional instability, especially when refugees are hosted in neighbouring countries, resulting in possible tensions with local populations.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"https://www.un.org/en/development/desa/population/migration/generalassembly/docs/globalcompact/A_RES_70_1_E.pdf"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The United Nations General Assembly Resolution (A/Res/70/1)</w:t>
            </w:r>
            <w:r>
              <w:rPr>
                <w:rFonts w:hint="default" w:ascii="Calibri" w:hAnsi="Calibri" w:cs="Calibri"/>
                <w:color w:val="000000"/>
                <w:sz w:val="22"/>
                <w:szCs w:val="22"/>
              </w:rPr>
              <w:fldChar w:fldCharType="end"/>
            </w:r>
            <w:r>
              <w:rPr>
                <w:rFonts w:hint="default" w:ascii="Calibri" w:hAnsi="Calibri" w:cs="Calibri"/>
                <w:color w:val="000000"/>
                <w:sz w:val="22"/>
                <w:szCs w:val="22"/>
              </w:rPr>
              <w:t xml:space="preserve"> that adopted the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"https://www.coe.int/en/web/programmes/un-2030-agenda" \l ":~:text=The%202030%20Agenda%20for%20Sustainable,equality%20and%20non%2Ddiscrimination%E2%80%9D."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 xml:space="preserve">2030 Agenda for Sustainable Development </w:t>
            </w:r>
            <w:r>
              <w:rPr>
                <w:rFonts w:hint="default" w:ascii="Calibri" w:hAnsi="Calibri" w:cs="Calibri"/>
                <w:color w:val="000000"/>
                <w:sz w:val="22"/>
                <w:szCs w:val="22"/>
              </w:rPr>
              <w:fldChar w:fldCharType="end"/>
            </w:r>
            <w:r>
              <w:rPr>
                <w:rFonts w:hint="default" w:ascii="Calibri" w:hAnsi="Calibri" w:cs="Calibri"/>
                <w:color w:val="000000"/>
                <w:sz w:val="22"/>
                <w:szCs w:val="22"/>
                <w:lang w:val="en-CA"/>
              </w:rPr>
              <w:t>on</w:t>
            </w:r>
            <w:r>
              <w:rPr>
                <w:rFonts w:hint="default" w:ascii="Calibri" w:hAnsi="Calibri" w:cs="Calibri"/>
                <w:color w:val="000000"/>
                <w:sz w:val="22"/>
                <w:szCs w:val="22"/>
              </w:rPr>
              <w:t xml:space="preserve"> paragraph 23 recognizes the relevance of the Agenda to meet the needs of refugees, internally displaced persons and migrants on the basis that they are among the most vulnerable.</w:t>
            </w:r>
          </w:p>
          <w:p>
            <w:pPr>
              <w:pStyle w:val="19"/>
              <w:jc w:val="both"/>
            </w:pPr>
            <w:r>
              <w:rPr>
                <w:rFonts w:hint="default" w:ascii="Calibri" w:hAnsi="Calibri" w:cs="Calibri"/>
                <w:color w:val="000000"/>
                <w:sz w:val="22"/>
                <w:szCs w:val="22"/>
              </w:rPr>
              <w:t>This indicator tracks the number of people displaced across national borders as a result of persecution, conflict, violence, human rights violations, or events seriously disturbing public order. It measures the total count of refugee population by country or territory of origin as a proportion of the total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19"/>
            </w:pPr>
            <w:r>
              <w:rPr>
                <w:color w:val="000000"/>
                <w:sz w:val="22"/>
                <w:szCs w:val="22"/>
              </w:rPr>
              <w:t>T</w:t>
            </w:r>
            <w:r>
              <w:rPr>
                <w:rFonts w:hint="default" w:ascii="Calibri" w:hAnsi="Calibri" w:cs="Calibri"/>
                <w:color w:val="000000"/>
                <w:sz w:val="22"/>
                <w:szCs w:val="22"/>
              </w:rPr>
              <w:t>he indicator is presented as the number of refugees per 100,000 population in country of origin.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country of origin.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Fonts w:hint="default"/>
                <w:lang w:val="en-CA"/>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80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3C5"/>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0F9A"/>
    <w:rsid w:val="00772DE4"/>
    <w:rsid w:val="0077584C"/>
    <w:rsid w:val="00776312"/>
    <w:rsid w:val="00791932"/>
    <w:rsid w:val="00794C21"/>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6663"/>
    <w:rsid w:val="00F54570"/>
    <w:rsid w:val="00F75853"/>
    <w:rsid w:val="00F7784D"/>
    <w:rsid w:val="00F8144F"/>
    <w:rsid w:val="00F8462A"/>
    <w:rsid w:val="00F862A7"/>
    <w:rsid w:val="00F93763"/>
    <w:rsid w:val="00F939A2"/>
    <w:rsid w:val="00F96E8D"/>
    <w:rsid w:val="00FA20D9"/>
    <w:rsid w:val="00FB03D0"/>
    <w:rsid w:val="00FB105B"/>
    <w:rsid w:val="00FD54D7"/>
    <w:rsid w:val="00FF642D"/>
    <w:rsid w:val="07F170EB"/>
    <w:rsid w:val="0C931C35"/>
    <w:rsid w:val="1D8253C2"/>
    <w:rsid w:val="4F2C31CD"/>
    <w:rsid w:val="70AD016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E14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215968</Words>
  <Characters>1231022</Characters>
  <Lines>10258</Lines>
  <Paragraphs>2888</Paragraphs>
  <TotalTime>11</TotalTime>
  <ScaleCrop>false</ScaleCrop>
  <LinksUpToDate>false</LinksUpToDate>
  <CharactersWithSpaces>1444102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2022-11-11T17:53:44Z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35EE09ACD9E946189F1F9E7301F88EB1</vt:lpwstr>
  </property>
</Properties>
</file>