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3.3.3 Malaria incidence per 1,000 population at risk [3.3.3] (SH_STA_MALR)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3pt;width:3pt;" o:ole="t" filled="f" o:preferrelative="t" stroked="f" coordsize="21600,21600">
            <v:path/>
            <v:fill on="f" focussize="0,0"/>
            <v:stroke on="f"/>
            <v:imagedata r:id="rId9" o:title=""/>
            <o:lock v:ext="edit" aspectratio="t"/>
            <w10:wrap type="none"/>
            <w10:anchorlock/>
          </v:shape>
          <w:control r:id="rId8" w:name="CommandButton1" w:shapeid="_x0000_i1025"/>
        </w:object>
      </w:r>
      <w:r>
        <w:rPr>
          <w:sz w:val="26"/>
          <w:szCs w:val="26"/>
        </w:rPr>
        <w:t xml:space="preserve">   </w:t>
      </w:r>
      <w:r>
        <w:rPr>
          <w:sz w:val="26"/>
          <w:szCs w:val="26"/>
        </w:rPr>
        <w:object>
          <v:shape id="_x0000_i1026" o:spt="201" type="#_x0000_t201" style="height:3pt;width:3pt;" o:ole="t" filled="f" o:preferrelative="t" stroked="f" coordsize="21600,21600">
            <v:path/>
            <v:fill on="f" focussize="0,0"/>
            <v:stroke on="f"/>
            <v:imagedata r:id="rId9" o:title=""/>
            <o:lock v:ext="edit" aspectratio="t"/>
            <w10:wrap type="none"/>
            <w10:anchorlock/>
          </v:shape>
          <w:control r:id="rId10" w:name="CommandButton2"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3pt;width:3pt;" o:ole="t" filled="f" o:preferrelative="t" stroked="f" coordsize="21600,21600">
            <v:path/>
            <v:fill on="f" focussize="0,0"/>
            <v:stroke on="f"/>
            <v:imagedata r:id="rId9" o:title=""/>
            <o:lock v:ext="edit" aspectratio="t"/>
            <w10:wrap type="none"/>
            <w10:anchorlock/>
          </v:shape>
          <w:control r:id="rId11" w:name="CommandButton3" w:shapeid="_x0000_i1027"/>
        </w:object>
      </w:r>
      <w:r>
        <w:t xml:space="preserve">             </w:t>
      </w:r>
      <w:r>
        <w:object>
          <v:shape id="_x0000_i1028" o:spt="201" type="#_x0000_t201" style="height:3pt;width:3pt;" o:ole="t" filled="f" o:preferrelative="t" stroked="f" coordsize="21600,21600">
            <v:path/>
            <v:fill on="f" focussize="0,0"/>
            <v:stroke on="f"/>
            <v:imagedata r:id="rId9" o:title=""/>
            <o:lock v:ext="edit" aspectratio="t"/>
            <w10:wrap type="none"/>
            <w10:anchorlock/>
          </v:shape>
          <w:control r:id="rId12" w:name="CommandButton4"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30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ascii="Calibri" w:hAnsi="Calibri" w:eastAsia="SimSun" w:cs="Calibri"/>
                <w:sz w:val="22"/>
                <w:szCs w:val="22"/>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3.3: By 2030, end the epidemics of AIDS, tuberculosis, malaria and neglected tropical diseases and combat hepatitis, water-borne diseases and other communicable diseases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3.3.3: Malaria incidence per 1,000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3"/>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rPr>
                <w:rStyle w:val="56"/>
              </w:rPr>
              <w:t>Global Malaria Programme at World Health Organization (WHO).</w:t>
            </w:r>
            <w:r>
              <w:rPr>
                <w:rStyle w:val="57"/>
              </w:rPr>
              <w:t> </w:t>
            </w:r>
          </w:p>
        </w:tc>
      </w:tr>
      <w:permEnd w:id="11"/>
    </w:tbl>
    <w:p/>
    <w:tbl>
      <w:tblPr>
        <w:tblStyle w:val="5"/>
        <w:tblW w:w="4750" w:type="pct"/>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572"/>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3073"/>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r>
              <w:t>Malaria is a life-threatening disease caused by parasites that are transmitted to people through the bites of infected female </w:t>
            </w:r>
            <w:r>
              <w:rPr>
                <w:rStyle w:val="10"/>
              </w:rPr>
              <w:t>Anopheles</w:t>
            </w:r>
            <w:r>
              <w:t> mosquitoes. It is preventable and curable. There are 5 parasite species that cause malaria in humans, and 2 of these species – </w:t>
            </w:r>
            <w:r>
              <w:rPr>
                <w:rStyle w:val="10"/>
              </w:rPr>
              <w:t>Plasmodium falciparum</w:t>
            </w:r>
            <w:r>
              <w:t> and </w:t>
            </w:r>
            <w:r>
              <w:rPr>
                <w:rStyle w:val="10"/>
              </w:rPr>
              <w:t>Plasmodium vivax</w:t>
            </w:r>
            <w:r>
              <w:t> – pose the greatest threat. </w:t>
            </w:r>
          </w:p>
          <w:p>
            <w:r>
              <w:t>Case of malaria is defined as the occurrence of malaria infection in a person whom the presence of malaria parasites in the blood has been confirmed by a diagnostic test.</w:t>
            </w:r>
          </w:p>
          <w:p>
            <w:r>
              <w:t xml:space="preserve"> The population considered is the population at risk of the disease.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lang w:val="en-CA"/>
              </w:rPr>
              <w:t>P</w:t>
            </w:r>
            <w:r>
              <w:t>er 1,000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Times New Roman" w:cs="Calibri"/>
                <w:i w:val="0"/>
                <w:iCs/>
                <w:sz w:val="22"/>
                <w:szCs w:val="22"/>
                <w:lang w:val="en-GB" w:eastAsia="en-GB"/>
              </w:rPr>
              <w:t>Holistic Assessment of Health Sector Programme of Work,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3075"/>
            <w:bookmarkStart w:id="23" w:name="_Toc36812688"/>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20"/>
              <w:keepNext w:val="0"/>
              <w:keepLines w:val="0"/>
              <w:widowControl/>
              <w:suppressLineNumbers w:val="0"/>
              <w:ind w:left="0" w:firstLine="0"/>
            </w:pPr>
            <w:r>
              <w:rPr>
                <w:rFonts w:hint="default" w:cs="Sitka Subheading" w:asciiTheme="minorAscii" w:hAnsiTheme="minorAscii"/>
                <w:i w:val="0"/>
                <w:iCs w:val="0"/>
                <w:caps w:val="0"/>
                <w:color w:val="000000"/>
                <w:spacing w:val="0"/>
                <w:sz w:val="22"/>
                <w:szCs w:val="22"/>
              </w:rPr>
              <w:t>With this information, programmes can respond to unusual trends, such as epidemics, and direct</w:t>
            </w:r>
            <w:r>
              <w:rPr>
                <w:rFonts w:hint="default" w:cs="Sitka Subheading" w:asciiTheme="minorAscii" w:hAnsiTheme="minorAscii"/>
                <w:i w:val="0"/>
                <w:iCs w:val="0"/>
                <w:caps w:val="0"/>
                <w:color w:val="000000"/>
                <w:spacing w:val="0"/>
                <w:sz w:val="22"/>
                <w:szCs w:val="22"/>
                <w:lang w:val="en-CA"/>
              </w:rPr>
              <w:t xml:space="preserve"> </w:t>
            </w:r>
            <w:r>
              <w:rPr>
                <w:rFonts w:hint="default" w:cs="Sitka Subheading" w:asciiTheme="minorAscii" w:hAnsiTheme="minorAscii"/>
                <w:i w:val="0"/>
                <w:iCs w:val="0"/>
                <w:caps w:val="0"/>
                <w:color w:val="000000"/>
                <w:spacing w:val="0"/>
                <w:sz w:val="22"/>
                <w:szCs w:val="22"/>
              </w:rPr>
              <w:t>resources to the populations most in need. These data also serves to inform global resource allocation for malaria such as when defining eligibility criteria for Global Fund finance.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3076"/>
            <w:bookmarkStart w:id="27" w:name="_Toc36812576"/>
            <w:bookmarkStart w:id="28" w:name="_Toc36655613"/>
            <w:bookmarkStart w:id="29" w:name="_Toc36812689"/>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The</w:t>
            </w:r>
            <w:r>
              <w:rPr>
                <w:rFonts w:hint="default"/>
                <w:lang w:val="en-CA"/>
              </w:rPr>
              <w:t>re is no available disaggregation for this indicator.</w:t>
            </w:r>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"https://www.who.int/health-topics/malaria" \l "tab=tab_1" </w:instrText>
            </w:r>
            <w:r>
              <w:fldChar w:fldCharType="separate"/>
            </w:r>
            <w:r>
              <w:rPr>
                <w:rStyle w:val="19"/>
              </w:rPr>
              <w:t>https://www.who.int/health-topics/malaria#tab=tab_1</w:t>
            </w:r>
            <w: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2000505000000020004"/>
    <w:charset w:val="00"/>
    <w:family w:val="auto"/>
    <w:pitch w:val="default"/>
    <w:sig w:usb0="A00002EF" w:usb1="4000204B" w:usb2="00000000" w:usb3="00000000" w:csb0="2000019F" w:csb1="00000000"/>
  </w:font>
  <w:font w:name="Showcard Gothic">
    <w:panose1 w:val="04020904020102020604"/>
    <w:charset w:val="00"/>
    <w:family w:val="auto"/>
    <w:pitch w:val="default"/>
    <w:sig w:usb0="00000003" w:usb1="00000000" w:usb2="00000000" w:usb3="00000000" w:csb0="20000001" w:csb1="00000000"/>
  </w:font>
  <w:font w:name="Segoe UI Symbol">
    <w:panose1 w:val="020B0502040204020203"/>
    <w:charset w:val="00"/>
    <w:family w:val="auto"/>
    <w:pitch w:val="default"/>
    <w:sig w:usb0="800001E3" w:usb1="1200FFEF" w:usb2="00040000" w:usb3="04000000" w:csb0="00000001" w:csb1="40000000"/>
  </w:font>
  <w:font w:name="Calisto MT">
    <w:panose1 w:val="02040603050505030304"/>
    <w:charset w:val="00"/>
    <w:family w:val="auto"/>
    <w:pitch w:val="default"/>
    <w:sig w:usb0="00000003" w:usb1="00000000" w:usb2="00000000" w:usb3="00000000" w:csb0="20000001" w:csb1="00000000"/>
  </w:font>
  <w:font w:name="Sitka Display">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w:t>
      </w:r>
      <w:bookmarkStart w:id="38" w:name="_GoBack"/>
      <w:bookmarkEnd w:id="38"/>
      <w:r>
        <w:t>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2"/>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A29"/>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498A"/>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9603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D7E86"/>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66ECF"/>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1884A54"/>
    <w:rsid w:val="6A69674E"/>
    <w:rsid w:val="7C09533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5"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5"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mphasis"/>
    <w:basedOn w:val="4"/>
    <w:qFormat/>
    <w:uiPriority w:val="20"/>
    <w:rPr>
      <w:i/>
      <w:iCs/>
    </w:rPr>
  </w:style>
  <w:style w:type="character" w:styleId="11">
    <w:name w:val="endnote reference"/>
    <w:basedOn w:val="4"/>
    <w:semiHidden/>
    <w:unhideWhenUsed/>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rPr>
  </w:style>
  <w:style w:type="paragraph" w:styleId="20">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1">
    <w:name w:val="Subtitle"/>
    <w:basedOn w:val="1"/>
    <w:next w:val="1"/>
    <w:link w:val="30"/>
    <w:qFormat/>
    <w:uiPriority w:val="11"/>
    <w:rPr>
      <w:rFonts w:eastAsiaTheme="minorEastAsia"/>
      <w:color w:val="595959" w:themeColor="text1" w:themeTint="A5"/>
      <w:spacing w:val="15"/>
    </w:rPr>
  </w:style>
  <w:style w:type="table" w:styleId="22">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5"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5"/>
      <w:spacing w:val="15"/>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4"/>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2"/>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5"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qFormat/>
    <w:uiPriority w:val="99"/>
    <w:rPr>
      <w:color w:val="605E5C"/>
      <w:shd w:val="clear" w:color="auto" w:fill="E1DFDD"/>
    </w:rPr>
  </w:style>
  <w:style w:type="character" w:customStyle="1" w:styleId="55">
    <w:name w:val="hidden-sm"/>
    <w:basedOn w:val="4"/>
    <w:qFormat/>
    <w:uiPriority w:val="0"/>
  </w:style>
  <w:style w:type="character" w:customStyle="1" w:styleId="56">
    <w:name w:val="normaltextrun"/>
    <w:basedOn w:val="4"/>
    <w:qFormat/>
    <w:uiPriority w:val="0"/>
  </w:style>
  <w:style w:type="character" w:customStyle="1" w:styleId="57">
    <w:name w:val="eop"/>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9" Type="http://schemas.openxmlformats.org/officeDocument/2006/relationships/glossaryDocument" Target="glossary/document.xml"/><Relationship Id="rId18" Type="http://schemas.openxmlformats.org/officeDocument/2006/relationships/fontTable" Target="fontTable.xml"/><Relationship Id="rId17" Type="http://schemas.microsoft.com/office/2006/relationships/vbaProject" Target="vbaProject.bin"/><Relationship Id="rId16" Type="http://schemas.openxmlformats.org/officeDocument/2006/relationships/customXml" Target="../customXml/item4.xml"/><Relationship Id="rId15" Type="http://schemas.openxmlformats.org/officeDocument/2006/relationships/customXml" Target="../customXml/item3.xml"/><Relationship Id="rId14" Type="http://schemas.openxmlformats.org/officeDocument/2006/relationships/customXml" Target="../customXml/item2.xml"/><Relationship Id="rId13" Type="http://schemas.openxmlformats.org/officeDocument/2006/relationships/customXml" Target="../customXml/item1.xml"/><Relationship Id="rId12" Type="http://schemas.openxmlformats.org/officeDocument/2006/relationships/control" Target="activeX/activeX4.xml"/><Relationship Id="rId11" Type="http://schemas.openxmlformats.org/officeDocument/2006/relationships/control" Target="activeX/activeX3.xml"/><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310FD"/>
    <w:rsid w:val="006153AA"/>
    <w:rsid w:val="0064052E"/>
    <w:rsid w:val="00650D09"/>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215692</Words>
  <Characters>1229449</Characters>
  <Lines>10245</Lines>
  <Paragraphs>2884</Paragraphs>
  <TotalTime>87</TotalTime>
  <ScaleCrop>false</ScaleCrop>
  <LinksUpToDate>false</LinksUpToDate>
  <CharactersWithSpaces>1442257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2021-10-18T12:29:00Z</dcterms:created>
  <dc:creator>Fanning, Stephen B (JMD)</dc:creator>
  <cp:lastModifiedBy>Doreen</cp:lastModifiedBy>
  <cp:lastPrinted>2020-04-16T14:23:00Z</cp:lastPrinted>
  <dcterms:modified xsi:type="dcterms:W3CDTF">2022-11-08T17:46:31Z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AE24C03E489C487DAAD4787FDCE108BA</vt:lpwstr>
  </property>
</Properties>
</file>