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12.1.1 Countries with sustainable consumption and production (SCP) national action plans or SCP mainstreamed as a priority or target into national policies (1 = YES; 0 = NO) [12.1.1] (SG_SCP_CNTRY)</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2684"/>
            <w:bookmarkStart w:id="4" w:name="_Toc368130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12: Ensure sustainable consumption and production patterns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12.1: Implement the 10</w:t>
            </w:r>
            <w:r>
              <w:rPr>
                <w:rFonts w:hint="default"/>
              </w:rPr>
              <w:noBreakHyphen/>
            </w:r>
            <w:r>
              <w:rPr>
                <w:rFonts w:hint="default"/>
              </w:rPr>
              <w:t>Year Framework of Programmes on Sustainable Consumption and Production Patterns, all countries taking action, with developed countries taking the lead, taking into account the dev</w:t>
            </w:r>
            <w:bookmarkStart w:id="37" w:name="_GoBack"/>
            <w:bookmarkEnd w:id="37"/>
            <w:r>
              <w:rPr>
                <w:rFonts w:hint="default"/>
              </w:rPr>
              <w:t>elopment and capabilities of developing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12.1.1 Relevant Ghanaian policy instruments aimed at supporting the shift to sustainable consumption and production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813072"/>
            <w:bookmarkStart w:id="9" w:name="_Toc36812572"/>
            <w:bookmarkStart w:id="10" w:name="_Toc36655609"/>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6812686"/>
            <w:bookmarkStart w:id="14" w:name="_Toc36812573"/>
            <w:bookmarkStart w:id="15" w:name="_Toc368130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3075"/>
            <w:bookmarkStart w:id="21" w:name="_Toc36812688"/>
            <w:bookmarkStart w:id="22" w:name="_Toc36812575"/>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689"/>
            <w:bookmarkStart w:id="25" w:name="_Toc36812576"/>
            <w:bookmarkStart w:id="26" w:name="_Toc36813076"/>
            <w:bookmarkStart w:id="27" w:name="_Toc37932748"/>
            <w:bookmarkStart w:id="28" w:name="_Toc36655613"/>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E737408"/>
    <w:rsid w:val="17985ABB"/>
    <w:rsid w:val="2A50255C"/>
    <w:rsid w:val="2EFD6D6C"/>
    <w:rsid w:val="34824CA8"/>
    <w:rsid w:val="39087851"/>
    <w:rsid w:val="3FB54248"/>
    <w:rsid w:val="548E182E"/>
    <w:rsid w:val="5E455DA7"/>
    <w:rsid w:val="617B58CA"/>
    <w:rsid w:val="65FE2CB0"/>
    <w:rsid w:val="6C064747"/>
    <w:rsid w:val="6C9D06DD"/>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2022-10-25T21:02:39Z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EA442A988DCE43399983AFC77A53F21E</vt:lpwstr>
  </property>
</Properties>
</file>