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0.0.0 National series not in global framework (_)</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6813071"/>
            <w:bookmarkStart w:id="4" w:name="_Toc36812571"/>
            <w:bookmarkStart w:id="5" w:name="_Toc36655608"/>
            <w:bookmarkStart w:id="6" w:name="_Toc37932743"/>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17.8: Fully operationalize the technology bank and science, technology and innovation capacity-building mechanism for least developed countries by 2017 and enhance the use of enabling technology, in particular information and communications technology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17.18.3 Relevant national statistical plan</w:t>
            </w:r>
            <w:bookmarkStart w:id="37" w:name="_GoBack"/>
            <w:bookmarkEnd w:id="37"/>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7932744"/>
            <w:bookmarkStart w:id="8" w:name="_Toc36812572"/>
            <w:bookmarkStart w:id="9" w:name="_Toc36655609"/>
            <w:bookmarkStart w:id="10" w:name="_Toc36813072"/>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573"/>
            <w:bookmarkStart w:id="13" w:name="_Toc36655610"/>
            <w:bookmarkStart w:id="14" w:name="_Toc36813073"/>
            <w:bookmarkStart w:id="15" w:name="_Toc36812686"/>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688"/>
            <w:bookmarkStart w:id="20" w:name="_Toc36655612"/>
            <w:bookmarkStart w:id="21" w:name="_Toc36812575"/>
            <w:bookmarkStart w:id="22" w:name="_Toc37932747"/>
            <w:bookmarkStart w:id="23" w:name="_Toc36813075"/>
            <w:r>
              <w:rPr>
                <w:sz w:val="32"/>
                <w:szCs w:val="32"/>
              </w:rPr>
              <w:t>4. Other methodological considerations</w:t>
            </w:r>
            <w:bookmarkEnd w:id="19"/>
            <w:bookmarkEnd w:id="20"/>
            <w:bookmarkEnd w:id="21"/>
            <w:bookmarkEnd w:id="22"/>
            <w:bookmarkEnd w:id="23"/>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812689"/>
            <w:bookmarkStart w:id="27" w:name="_Toc37932748"/>
            <w:bookmarkStart w:id="28" w:name="_Toc36655613"/>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1"/>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4" w:name="_Toc37932753"/>
      <w:bookmarkStart w:id="35" w:name="Mapping"/>
      <w:r>
        <w:rPr>
          <w:sz w:val="28"/>
          <w:szCs w:val="28"/>
        </w:rPr>
        <w:t>B. Mapping of SDMX Detailed Concepts to IAEG-SDG File Format</w:t>
      </w:r>
      <w:bookmarkEnd w:id="34"/>
    </w:p>
    <w:bookmarkEnd w:id="35"/>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6" w:name="_Toc37932754"/>
      <w:r>
        <w:rPr>
          <w:sz w:val="28"/>
          <w:szCs w:val="28"/>
        </w:rPr>
        <w:t>C. Mapping of IAEG-SDG File Format to SDMX Detailed Concepts</w:t>
      </w:r>
      <w:bookmarkEnd w:id="36"/>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8C37D6D"/>
    <w:rsid w:val="0BB9306E"/>
    <w:rsid w:val="17985ABB"/>
    <w:rsid w:val="226202D0"/>
    <w:rsid w:val="34824CA8"/>
    <w:rsid w:val="3FB54248"/>
    <w:rsid w:val="5E455DA7"/>
    <w:rsid w:val="617B58CA"/>
    <w:rsid w:val="62A73269"/>
    <w:rsid w:val="65FE2CB0"/>
    <w:rsid w:val="6F9925DA"/>
    <w:rsid w:val="779C1699"/>
    <w:rsid w:val="7BC55C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0</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2022-10-25T21:41:42Z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74F33B1A591B49B699AF1864DD618A79</vt:lpwstr>
  </property>
</Properties>
</file>