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3"/>
        <w:jc w:val="center"/>
        <w:rPr>
          <w:rFonts w:eastAsiaTheme="minorHAnsi"/>
          <w:sz w:val="48"/>
          <w:szCs w:val="48"/>
        </w:rPr>
      </w:pPr>
      <w:r>
        <w:rPr>
          <w:rFonts w:eastAsiaTheme="minorHAnsi"/>
          <w:sz w:val="48"/>
          <w:szCs w:val="48"/>
        </w:rPr>
        <w:t>SDG Metadata Authoring Tool Template</w:t>
      </w:r>
    </w:p>
    <w:p>
      <w:pPr>
        <w:pStyle w:val="21"/>
        <w:jc w:val="center"/>
        <w:rPr>
          <w:color w:val="595959" w:themeColor="text1" w:themeTint="A6"/>
          <w14:textFill>
            <w14:solidFill>
              <w14:schemeClr w14:val="tx1">
                <w14:lumMod w14:val="65000"/>
                <w14:lumOff w14:val="35000"/>
              </w14:schemeClr>
            </w14:solidFill>
          </w14:textFill>
        </w:rPr>
      </w:pPr>
      <w:r>
        <w:rPr>
          <w:color w:val="595959" w:themeColor="text1" w:themeTint="A6"/>
          <w14:textFill>
            <w14:solidFill>
              <w14:schemeClr w14:val="tx1">
                <w14:lumMod w14:val="65000"/>
                <w14:lumOff w14:val="35000"/>
              </w14:schemeClr>
            </w14:solidFill>
          </w14:textFill>
        </w:rP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8"/>
          </w:pPr>
          <w:r>
            <w:t>Contents</w:t>
          </w:r>
        </w:p>
        <w:p>
          <w:pPr>
            <w:pStyle w:val="24"/>
            <w:tabs>
              <w:tab w:val="right" w:leader="dot" w:pos="9350"/>
            </w:tabs>
            <w:rPr>
              <w:rFonts w:eastAsiaTheme="minorEastAsia"/>
            </w:rPr>
          </w:pPr>
          <w:r>
            <w:rPr>
              <w:rStyle w:val="18"/>
            </w:rPr>
            <w:fldChar w:fldCharType="begin"/>
          </w:r>
          <w:r>
            <w:rPr>
              <w:rStyle w:val="18"/>
            </w:rPr>
            <w:instrText xml:space="preserve"> TOC \o "1-3" \h \z \u </w:instrText>
          </w:r>
          <w:r>
            <w:rPr>
              <w:rStyle w:val="18"/>
            </w:rPr>
            <w:fldChar w:fldCharType="separate"/>
          </w:r>
          <w:r>
            <w:fldChar w:fldCharType="begin"/>
          </w:r>
          <w:r>
            <w:instrText xml:space="preserve"> HYPERLINK \l "_Toc37932741" </w:instrText>
          </w:r>
          <w:r>
            <w:fldChar w:fldCharType="separate"/>
          </w:r>
          <w:r>
            <w:rPr>
              <w:rStyle w:val="18"/>
            </w:rPr>
            <w:t>Metadata Attachment</w:t>
          </w:r>
          <w:r>
            <w:tab/>
          </w:r>
          <w:r>
            <w:fldChar w:fldCharType="begin"/>
          </w:r>
          <w:r>
            <w:instrText xml:space="preserve"> PAGEREF _Toc37932741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"_Toc37932742" </w:instrText>
          </w:r>
          <w:r>
            <w:fldChar w:fldCharType="separate"/>
          </w:r>
          <w:r>
            <w:rPr>
              <w:rStyle w:val="18"/>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"_Toc37932743" </w:instrText>
          </w:r>
          <w:r>
            <w:fldChar w:fldCharType="separate"/>
          </w:r>
          <w:r>
            <w:rPr>
              <w:rStyle w:val="18"/>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"_Toc37932744" </w:instrText>
          </w:r>
          <w:r>
            <w:fldChar w:fldCharType="separate"/>
          </w:r>
          <w:r>
            <w:rPr>
              <w:rStyle w:val="18"/>
            </w:rPr>
            <w:t>1. Data reporter</w:t>
          </w:r>
          <w:r>
            <w:tab/>
          </w:r>
          <w:r>
            <w:fldChar w:fldCharType="begin"/>
          </w:r>
          <w:r>
            <w:instrText xml:space="preserve"> PAGEREF _Toc37932744 \h </w:instrText>
          </w:r>
          <w:r>
            <w:fldChar w:fldCharType="separate"/>
          </w:r>
          <w:r>
            <w:t>2</w:t>
          </w:r>
          <w:r>
            <w:fldChar w:fldCharType="end"/>
          </w:r>
          <w:r>
            <w:fldChar w:fldCharType="end"/>
          </w:r>
        </w:p>
        <w:p>
          <w:pPr>
            <w:pStyle w:val="25"/>
            <w:tabs>
              <w:tab w:val="right" w:leader="dot" w:pos="9350"/>
            </w:tabs>
            <w:rPr>
              <w:rFonts w:eastAsiaTheme="minorEastAsia"/>
            </w:rPr>
          </w:pPr>
          <w:r>
            <w:fldChar w:fldCharType="begin"/>
          </w:r>
          <w:r>
            <w:instrText xml:space="preserve"> HYPERLINK \l "_Toc37932745" </w:instrText>
          </w:r>
          <w:r>
            <w:fldChar w:fldCharType="separate"/>
          </w:r>
          <w:r>
            <w:rPr>
              <w:rStyle w:val="18"/>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"_Toc37932746" </w:instrText>
          </w:r>
          <w:r>
            <w:fldChar w:fldCharType="separate"/>
          </w:r>
          <w:r>
            <w:rPr>
              <w:rStyle w:val="18"/>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"_Toc37932747" </w:instrText>
          </w:r>
          <w:r>
            <w:fldChar w:fldCharType="separate"/>
          </w:r>
          <w:r>
            <w:rPr>
              <w:rStyle w:val="18"/>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5"/>
            <w:tabs>
              <w:tab w:val="right" w:leader="dot" w:pos="9350"/>
            </w:tabs>
            <w:rPr>
              <w:rFonts w:eastAsiaTheme="minorEastAsia"/>
            </w:rPr>
          </w:pPr>
          <w:r>
            <w:fldChar w:fldCharType="begin"/>
          </w:r>
          <w:r>
            <w:instrText xml:space="preserve"> HYPERLINK \l "_Toc37932748" </w:instrText>
          </w:r>
          <w:r>
            <w:fldChar w:fldCharType="separate"/>
          </w:r>
          <w:r>
            <w:rPr>
              <w:rStyle w:val="18"/>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"_Toc37932749" </w:instrText>
          </w:r>
          <w:r>
            <w:fldChar w:fldCharType="separate"/>
          </w:r>
          <w:r>
            <w:rPr>
              <w:rStyle w:val="18"/>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"_Toc37932750" </w:instrText>
          </w:r>
          <w:r>
            <w:fldChar w:fldCharType="separate"/>
          </w:r>
          <w:r>
            <w:rPr>
              <w:rStyle w:val="18"/>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"_Toc37932751" </w:instrText>
          </w:r>
          <w:r>
            <w:fldChar w:fldCharType="separate"/>
          </w:r>
          <w:r>
            <w:rPr>
              <w:rStyle w:val="18"/>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"_Toc37932752" </w:instrText>
          </w:r>
          <w:r>
            <w:fldChar w:fldCharType="separate"/>
          </w:r>
          <w:r>
            <w:rPr>
              <w:rStyle w:val="18"/>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5"/>
            <w:tabs>
              <w:tab w:val="right" w:leader="dot" w:pos="9350"/>
            </w:tabs>
            <w:rPr>
              <w:rFonts w:eastAsiaTheme="minorEastAsia"/>
            </w:rPr>
          </w:pPr>
          <w:r>
            <w:fldChar w:fldCharType="begin"/>
          </w:r>
          <w:r>
            <w:instrText xml:space="preserve"> HYPERLINK \l "_Toc37932753" </w:instrText>
          </w:r>
          <w:r>
            <w:fldChar w:fldCharType="separate"/>
          </w:r>
          <w:r>
            <w:rPr>
              <w:rStyle w:val="18"/>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5"/>
            <w:tabs>
              <w:tab w:val="right" w:leader="dot" w:pos="9350"/>
            </w:tabs>
            <w:rPr>
              <w:b/>
              <w:bCs/>
            </w:rPr>
          </w:pPr>
          <w:r>
            <w:fldChar w:fldCharType="begin"/>
          </w:r>
          <w:r>
            <w:instrText xml:space="preserve"> HYPERLINK \l "_Toc37932754" </w:instrText>
          </w:r>
          <w:r>
            <w:fldChar w:fldCharType="separate"/>
          </w:r>
          <w:r>
            <w:rPr>
              <w:rStyle w:val="18"/>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9"/>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4"/>
        </w:rPr>
        <w:footnoteReference w:id="0"/>
      </w:r>
      <w:r>
        <w:t xml:space="preserve"> A </w:t>
      </w:r>
      <w:r>
        <w:fldChar w:fldCharType="begin"/>
      </w:r>
      <w:r>
        <w:instrText xml:space="preserve"> HYPERLINK \l "Mapping" </w:instrText>
      </w:r>
      <w:r>
        <w:fldChar w:fldCharType="separate"/>
      </w:r>
      <w:r>
        <w:rPr>
          <w:rStyle w:val="18"/>
        </w:rPr>
        <w:t>mapping</w:t>
      </w:r>
      <w:r>
        <w:rPr>
          <w:rStyle w:val="18"/>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8"/>
        </w:rPr>
        <w:t>descriptions</w:t>
      </w:r>
      <w:r>
        <w:rPr>
          <w:rStyle w:val="18"/>
        </w:rPr>
        <w:fldChar w:fldCharType="end"/>
      </w:r>
      <w:r>
        <w:t xml:space="preserve"> provided. </w:t>
      </w:r>
    </w:p>
    <w:p>
      <w:r>
        <w:rPr>
          <w:b/>
          <w:bCs/>
        </w:rPr>
        <w:t>Submit one set of tables for each SDG indicator metadata file</w:t>
      </w:r>
      <w:r>
        <w:t>.</w:t>
      </w:r>
    </w:p>
    <w:p/>
    <w:p>
      <w:pPr>
        <w:pStyle w:val="39"/>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1.a.1 Official development assistance grants for poverty reduction, by recipient countries (percentage of GNI) [1.a.1] (DC_ODA_POVLG)</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8"/>
        </w:rPr>
        <w:t>ISO web page</w:t>
      </w:r>
      <w:r>
        <w:rPr>
          <w:rStyle w:val="18"/>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9"/>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813071"/>
            <w:bookmarkStart w:id="4" w:name="_Toc37932743"/>
            <w:bookmarkStart w:id="5" w:name="_Toc36812684"/>
            <w:bookmarkStart w:id="6" w:name="_Toc36655608"/>
            <w:bookmarkStart w:id="7" w:name="_Toc36812571"/>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bidi w:val="0"/>
              <w:rPr>
                <w:rFonts w:cstheme="minorHAnsi"/>
                <w:szCs w:val="22"/>
              </w:rPr>
            </w:pPr>
            <w:r>
              <w:t>Goal 1. End poverty in all its forms everywhere</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Times New Roman" w:cstheme="minorHAnsi"/>
                <w:color w:val="333333"/>
                <w:lang w:eastAsia="en-GB"/>
              </w:rPr>
              <w:t>Target 1.a. Ensure significant mobilization of resources from a variety of sources, including through enhanced development cooperation, in order to provide adequate and predictable means for developing countries, in particular least developed countries, to implement programs and policies to end poverty in all its dimensions.</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pacing w:before="120" w:after="120" w:line="240" w:lineRule="auto"/>
              <w:jc w:val="both"/>
              <w:rPr>
                <w:rFonts w:cstheme="minorHAnsi"/>
                <w:color w:val="333333"/>
              </w:rPr>
            </w:pPr>
            <w:r>
              <w:rPr>
                <w:rFonts w:cstheme="minorHAnsi"/>
                <w:bCs/>
                <w:lang w:val="en-GB" w:eastAsia="en-GB"/>
              </w:rPr>
              <w:t>Indicator 1.a.1 (proxy): Proportion of domestically generated resources allocated by the government directly to poverty reduction programmes.</w:t>
            </w:r>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pPr>
              <w:jc w:val="both"/>
              <w:rPr>
                <w:rFonts w:eastAsia="Helvetica" w:cs="Helvetica"/>
                <w:color w:val="0B0C0C"/>
                <w:shd w:val="clear" w:color="auto" w:fill="FFFFFF"/>
              </w:rPr>
            </w:pPr>
            <w:r>
              <w:rPr>
                <w:rFonts w:eastAsia="Helvetica" w:cs="Helvetica"/>
                <w:color w:val="0B0C0C"/>
                <w:shd w:val="clear" w:color="auto" w:fill="FFFFFF"/>
              </w:rPr>
              <w:t>Budget Allocation towards Building resilience of the poor and vulnerable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Equal rights to basic services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Extreme poverty (in million Ghana Cedi)</w:t>
            </w:r>
          </w:p>
          <w:p>
            <w:pPr>
              <w:jc w:val="both"/>
              <w:rPr>
                <w:rFonts w:eastAsia="Helvetica" w:cs="Helvetica"/>
                <w:color w:val="0B0C0C"/>
                <w:shd w:val="clear" w:color="auto" w:fill="FFFFFF"/>
              </w:rPr>
            </w:pPr>
            <w:r>
              <w:rPr>
                <w:rFonts w:eastAsia="Helvetica" w:cs="Helvetica"/>
                <w:color w:val="0B0C0C"/>
                <w:shd w:val="clear" w:color="auto" w:fill="FFFFFF"/>
              </w:rPr>
              <w:t xml:space="preserve">Budget Allocation towards </w:t>
            </w:r>
            <w:r>
              <w:rPr>
                <w:rFonts w:eastAsia="Helvetica" w:cs="Helvetica"/>
                <w:color w:val="0B0C0C"/>
                <w:shd w:val="clear" w:color="auto" w:fill="FFFFFF"/>
                <w:lang w:val="en-CA"/>
              </w:rPr>
              <w:t>Mobilization</w:t>
            </w:r>
            <w:r>
              <w:rPr>
                <w:rFonts w:eastAsia="Helvetica" w:cs="Helvetica"/>
                <w:color w:val="0B0C0C"/>
                <w:shd w:val="clear" w:color="auto" w:fill="FFFFFF"/>
              </w:rPr>
              <w:t xml:space="preserve"> of resources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Pro-poor and Gender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Social dimension (in million Ghana Cedi)</w:t>
            </w:r>
          </w:p>
          <w:p>
            <w:pPr>
              <w:jc w:val="both"/>
              <w:rPr>
                <w:rFonts w:eastAsia="Helvetica" w:cs="Helvetica"/>
                <w:color w:val="0B0C0C"/>
                <w:shd w:val="clear" w:color="auto" w:fill="FFFFFF"/>
              </w:rPr>
            </w:pPr>
            <w:r>
              <w:rPr>
                <w:rFonts w:eastAsia="Helvetica" w:cs="Helvetica"/>
                <w:color w:val="0B0C0C"/>
                <w:shd w:val="clear" w:color="auto" w:fill="FFFFFF"/>
              </w:rPr>
              <w:t>Budget Allocation towards reducing poverty proportion of men, women and children by at least half (in million Ghana Cedi)</w:t>
            </w:r>
          </w:p>
          <w:p>
            <w:pPr>
              <w:jc w:val="both"/>
            </w:pPr>
            <w:r>
              <w:t>Official development assistance grants as percentage of GNI</w:t>
            </w:r>
          </w:p>
          <w:p>
            <w:pPr>
              <w:jc w:val="both"/>
              <w:rPr>
                <w:rFonts w:eastAsia="Helvetica" w:cs="Helvetica"/>
                <w:color w:val="0B0C0C"/>
                <w:shd w:val="clear" w:color="auto" w:fill="FFFFFF"/>
              </w:rPr>
            </w:pPr>
            <w:r>
              <w:rPr>
                <w:rFonts w:eastAsia="Helvetica" w:cs="Helvetica"/>
                <w:color w:val="0B0C0C"/>
                <w:shd w:val="clear" w:color="auto" w:fill="FFFFFF"/>
              </w:rPr>
              <w:t>Percentage share of Budget Allocation towards SDG1 (No Poverty) for MDAs/MMDAs</w:t>
            </w:r>
          </w:p>
          <w:p>
            <w:pPr>
              <w:jc w:val="both"/>
              <w:rPr>
                <w:rFonts w:ascii="Helvetica" w:hAnsi="Helvetica" w:eastAsia="Helvetica" w:cs="Helvetica"/>
                <w:color w:val="0B0C0C"/>
                <w:sz w:val="12"/>
                <w:szCs w:val="12"/>
                <w:shd w:val="clear" w:color="auto" w:fill="FFFFFF"/>
              </w:rPr>
            </w:pPr>
            <w:r>
              <w:rPr>
                <w:rFonts w:eastAsia="Helvetica" w:cs="Helvetica"/>
                <w:color w:val="0B0C0C"/>
                <w:shd w:val="clear" w:color="auto" w:fill="FFFFFF"/>
              </w:rPr>
              <w:t>Total Budget Allocation towards SDG1 (No Poverty) for MDAs/MMDAs (in million Ghana Cedi)</w:t>
            </w: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pStyle w:val="31"/>
              <w:rPr>
                <w:rFonts w:cstheme="minorHAnsi"/>
                <w:sz w:val="22"/>
                <w:szCs w:val="22"/>
              </w:rPr>
            </w:pP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rPr>
                <w:rFonts w:cstheme="minorHAnsi"/>
              </w:rPr>
            </w:pP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rPr>
                <w:rFonts w:cstheme="minorHAnsi"/>
              </w:rPr>
            </w:pPr>
            <w:r>
              <w:rPr>
                <w:rFonts w:eastAsia="SimSun" w:cstheme="minorHAnsi"/>
                <w:color w:val="000000"/>
              </w:rPr>
              <w:t>OECD</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8" w:name="_Toc36655609"/>
            <w:bookmarkStart w:id="9" w:name="_Toc36812572"/>
            <w:bookmarkStart w:id="10" w:name="_Toc36812685"/>
            <w:bookmarkStart w:id="11" w:name="_Toc37932744"/>
            <w:bookmarkStart w:id="12" w:name="_Toc36813072"/>
            <w:r>
              <w:rPr>
                <w:sz w:val="32"/>
                <w:szCs w:val="32"/>
              </w:rPr>
              <w:t>1. Data reporter</w:t>
            </w:r>
            <w:bookmarkEnd w:id="8"/>
            <w:bookmarkEnd w:id="9"/>
            <w:bookmarkEnd w:id="10"/>
            <w:bookmarkEnd w:id="11"/>
            <w:bookmarkEnd w:id="12"/>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pPr>
              <w:rPr>
                <w:rFonts w:hint="default" w:ascii="Arial" w:hAnsi="Arial" w:cs="Arial"/>
                <w:sz w:val="20"/>
                <w:szCs w:val="20"/>
                <w:lang w:val="en-CA"/>
              </w:rPr>
            </w:pPr>
            <w:r>
              <w:rPr>
                <w:rFonts w:hint="default" w:ascii="Calibri" w:hAnsi="Calibri" w:cs="Calibri"/>
                <w:sz w:val="22"/>
                <w:szCs w:val="22"/>
              </w:rPr>
              <w:t>Ministry of Finance</w:t>
            </w:r>
            <w:r>
              <w:rPr>
                <w:rFonts w:hint="default" w:ascii="Calibri" w:hAnsi="Calibri" w:cs="Calibri"/>
                <w:sz w:val="22"/>
                <w:szCs w:val="22"/>
                <w:lang w:val="en-CA"/>
              </w:rPr>
              <w:t xml:space="preserve"> (MoF)</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3" w:name="_Toc36812573"/>
            <w:bookmarkStart w:id="14" w:name="_Toc36813073"/>
            <w:bookmarkStart w:id="15" w:name="_Toc36812686"/>
            <w:bookmarkStart w:id="16" w:name="_Toc36655610"/>
            <w:bookmarkStart w:id="17" w:name="_Toc37932745"/>
            <w:r>
              <w:rPr>
                <w:sz w:val="32"/>
                <w:szCs w:val="32"/>
              </w:rPr>
              <w:t>2. Definition, concepts, and classifications</w:t>
            </w:r>
            <w:bookmarkEnd w:id="13"/>
            <w:bookmarkEnd w:id="14"/>
            <w:bookmarkEnd w:id="15"/>
            <w:bookmarkEnd w:id="16"/>
            <w:bookmarkEnd w:id="17"/>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pPr>
              <w:spacing w:after="0" w:line="240" w:lineRule="auto"/>
            </w:p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Definition:</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OECD/Development Assistance Committee (DAC) defines ODA as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w:t>
            </w:r>
            <w:r>
              <w:rPr>
                <w:rFonts w:hint="default" w:asciiTheme="minorHAnsi" w:hAnsiTheme="minorHAnsi" w:cstheme="minorHAnsi"/>
                <w:color w:val="000000"/>
                <w:sz w:val="22"/>
                <w:szCs w:val="22"/>
                <w:lang w:val="en-CA"/>
              </w:rPr>
              <w:t xml:space="preserve"> </w:t>
            </w:r>
            <w:r>
              <w:rPr>
                <w:rFonts w:asciiTheme="minorHAnsi" w:hAnsiTheme="minorHAnsi" w:cstheme="minorHAnsi"/>
                <w:color w:val="000000"/>
                <w:sz w:val="22"/>
                <w:szCs w:val="22"/>
              </w:rPr>
              <w:t xml:space="preserve">(calculated at a rate of discount of 10 per cent). </w:t>
            </w:r>
          </w:p>
          <w:p>
            <w:pPr>
              <w:pStyle w:val="19"/>
              <w:rPr>
                <w:rFonts w:hint="default" w:asciiTheme="minorHAnsi" w:hAnsiTheme="minorHAnsi" w:cstheme="minorHAnsi"/>
                <w:color w:val="000000"/>
                <w:sz w:val="22"/>
                <w:szCs w:val="22"/>
                <w:lang w:val="en-CA"/>
              </w:rPr>
            </w:pPr>
            <w:r>
              <w:rPr>
                <w:rFonts w:asciiTheme="minorHAnsi" w:hAnsiTheme="minorHAnsi" w:cstheme="minorHAnsi"/>
                <w:color w:val="000000"/>
                <w:sz w:val="22"/>
                <w:szCs w:val="22"/>
              </w:rPr>
              <w:t>Poverty reduction items can be defined as ODA to basic social services (basic health, basic education, basic water and sanitation, population programmes and reproductive health) and developmental food aid</w:t>
            </w:r>
            <w:r>
              <w:rPr>
                <w:rFonts w:hint="default" w:asciiTheme="minorHAnsi" w:hAnsiTheme="minorHAnsi" w:cstheme="minorHAnsi"/>
                <w:color w:val="000000"/>
                <w:sz w:val="22"/>
                <w:szCs w:val="22"/>
                <w:lang w:val="en-CA"/>
              </w:rPr>
              <w:t>.</w:t>
            </w:r>
          </w:p>
          <w:p>
            <w:pPr>
              <w:pStyle w:val="19"/>
              <w:rPr>
                <w:rFonts w:hint="default" w:asciiTheme="minorHAnsi" w:hAnsiTheme="minorHAnsi" w:cstheme="minorHAnsi"/>
                <w:color w:val="000000"/>
                <w:sz w:val="22"/>
                <w:szCs w:val="22"/>
                <w:lang w:val="en-CA"/>
              </w:rPr>
            </w:pPr>
            <w:r>
              <w:rPr>
                <w:rFonts w:hint="default" w:asciiTheme="minorHAnsi" w:hAnsiTheme="minorHAnsi" w:cstheme="minorHAnsi"/>
                <w:color w:val="000000"/>
                <w:sz w:val="22"/>
                <w:szCs w:val="22"/>
                <w:lang w:val="en-CA"/>
              </w:rPr>
              <w:t>Gross National Income (GNI) is the total amount of money earned by a nation’s people and businesses. The number includes the nations’ gross domestic product (GDP) plus the income it receives from overseas sources.</w:t>
            </w:r>
          </w:p>
          <w:p>
            <w:pPr>
              <w:pStyle w:val="19"/>
              <w:rPr>
                <w:rFonts w:asciiTheme="minorHAnsi" w:hAnsiTheme="minorHAnsi" w:cstheme="minorHAnsi"/>
                <w:b/>
                <w:bCs/>
                <w:color w:val="000000"/>
                <w:sz w:val="22"/>
                <w:szCs w:val="22"/>
              </w:rPr>
            </w:pPr>
            <w:r>
              <w:rPr>
                <w:rFonts w:asciiTheme="minorHAnsi" w:hAnsiTheme="minorHAnsi" w:cstheme="minorHAnsi"/>
                <w:b/>
                <w:bCs/>
                <w:color w:val="000000"/>
                <w:sz w:val="22"/>
                <w:szCs w:val="22"/>
              </w:rPr>
              <w:t>Concepts:</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The OECD/Development Assistance Committee (DAC) defines ODA as “flows to countries and territories on the DAC List of ODA Recipients and to multilateral institutions which are i) provided by official agencies, including state and local governments, or by their executive agencies; and ii) each transaction is administered with the promotion of the economic development and welfare of developing countries as its main objective; and is concessional in character and conveys a grant element of at least 25 per cent (calculated at a rate of discount of 10 per cent).Basic social services and development food aid, which focus on poverty reduction, are defined using the following OECD Creditor Reporting System purpose codes, which identify the sector the activity is intended to target:</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Basic Education (CRS codes 112xx)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Basic Health (CRS codes (122xx)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Water Supply and Sanitation (CRS codes 140xx)</w:t>
            </w:r>
          </w:p>
          <w:p>
            <w:pPr>
              <w:pStyle w:val="19"/>
              <w:rPr>
                <w:rFonts w:asciiTheme="minorHAnsi" w:hAnsiTheme="minorHAnsi" w:cstheme="minorHAnsi"/>
                <w:color w:val="000000"/>
                <w:sz w:val="22"/>
                <w:szCs w:val="22"/>
              </w:rPr>
            </w:pPr>
            <w:r>
              <w:rPr>
                <w:rFonts w:asciiTheme="minorHAnsi" w:hAnsiTheme="minorHAnsi" w:cstheme="minorHAnsi"/>
                <w:color w:val="000000"/>
                <w:sz w:val="22"/>
                <w:szCs w:val="22"/>
              </w:rPr>
              <w:t>· Multisector aid for basic social services (CRS code 16050)</w:t>
            </w:r>
          </w:p>
          <w:p>
            <w:pPr>
              <w:pStyle w:val="19"/>
              <w:rPr>
                <w:rFonts w:cstheme="minorHAnsi"/>
              </w:rPr>
            </w:pPr>
            <w:r>
              <w:rPr>
                <w:rFonts w:asciiTheme="minorHAnsi" w:hAnsiTheme="minorHAnsi" w:cstheme="minorHAnsi"/>
                <w:color w:val="000000"/>
                <w:sz w:val="22"/>
                <w:szCs w:val="22"/>
              </w:rPr>
              <w:t>· Development Food Aid (CRS code 52010)</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r>
              <w:t>Ghana cedis</w:t>
            </w:r>
          </w:p>
          <w:p>
            <w:pPr>
              <w:rPr>
                <w:rFonts w:hint="default"/>
                <w:lang w:val="en-CA"/>
              </w:rPr>
            </w:pPr>
            <w:r>
              <w:t>Percentage</w:t>
            </w:r>
            <w:r>
              <w:rPr>
                <w:rFonts w:hint="default"/>
                <w:lang w:val="en-CA"/>
              </w:rPr>
              <w:t xml:space="preserve"> (%)</w:t>
            </w:r>
          </w:p>
        </w:tc>
      </w:tr>
      <w:permEnd w:id="22"/>
      <w:tr>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8" w:name="_Toc37932746"/>
            <w:bookmarkStart w:id="19" w:name="_Toc36813074"/>
            <w:r>
              <w:rPr>
                <w:sz w:val="32"/>
                <w:szCs w:val="32"/>
              </w:rPr>
              <w:t>3. Data source type and data collection method</w:t>
            </w:r>
            <w:bookmarkEnd w:id="18"/>
            <w:bookmarkEnd w:id="19"/>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hint="default" w:cstheme="minorHAnsi"/>
                <w:lang w:val="en-CA" w:eastAsia="en-GB"/>
              </w:rPr>
            </w:pPr>
            <w:r>
              <w:rPr>
                <w:rFonts w:hint="default" w:cstheme="minorHAnsi"/>
                <w:lang w:val="en-CA"/>
              </w:rPr>
              <w:t>2019 Sustainable Development Goals (SDGs) Report</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pPr>
              <w:rPr>
                <w:rFonts w:cstheme="minorHAnsi"/>
              </w:rPr>
            </w:p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pPr>
              <w:rPr>
                <w:rFonts w:cstheme="minorHAnsi"/>
              </w:rPr>
            </w:pPr>
            <w:bookmarkStart w:id="38" w:name="_GoBack"/>
            <w:bookmarkEnd w:id="38"/>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pPr>
              <w:pStyle w:val="55"/>
              <w:shd w:val="clear" w:color="auto" w:fill="FFFFFF" w:themeFill="background1"/>
              <w:spacing w:before="0" w:beforeAutospacing="0" w:after="0" w:afterAutospacing="0" w:line="276" w:lineRule="auto"/>
              <w:contextualSpacing/>
              <w:rPr>
                <w:rFonts w:asciiTheme="minorHAnsi" w:hAnsiTheme="minorHAnsi" w:cstheme="minorHAnsi"/>
                <w:color w:val="4A4A4A"/>
                <w:sz w:val="22"/>
                <w:szCs w:val="22"/>
              </w:rPr>
            </w:p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cstheme="minorHAnsi"/>
                <w:lang w:val="en-CA"/>
              </w:rPr>
            </w:pPr>
            <w:r>
              <w:rPr>
                <w:rFonts w:cstheme="minorHAnsi"/>
              </w:rPr>
              <w:t>Ministry of Finance</w:t>
            </w:r>
            <w:r>
              <w:rPr>
                <w:rFonts w:hint="default" w:cstheme="minorHAnsi"/>
                <w:lang w:val="en-CA"/>
              </w:rPr>
              <w:t xml:space="preserve"> (MoF)</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heme="minorHAnsi"/>
                <w:color w:val="4A4A4A"/>
                <w:lang w:eastAsia="en-GB"/>
              </w:rPr>
            </w:pP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0" w:name="_Toc36812575"/>
            <w:bookmarkStart w:id="21" w:name="_Toc36655612"/>
            <w:bookmarkStart w:id="22" w:name="_Toc36813075"/>
            <w:bookmarkStart w:id="23" w:name="_Toc37932747"/>
            <w:bookmarkStart w:id="24" w:name="_Toc36812688"/>
            <w:r>
              <w:rPr>
                <w:sz w:val="32"/>
                <w:szCs w:val="32"/>
              </w:rPr>
              <w:t>4. Other methodological considerations</w:t>
            </w:r>
            <w:bookmarkEnd w:id="20"/>
            <w:bookmarkEnd w:id="21"/>
            <w:bookmarkEnd w:id="22"/>
            <w:bookmarkEnd w:id="23"/>
            <w:bookmarkEnd w:id="24"/>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SimSun" w:cstheme="minorHAnsi"/>
                <w:color w:val="000000"/>
              </w:rPr>
              <w:t>Total ODA flows to developing countries quantify the public effort (excluding non- concessional flows and export credits), that all donors provide for the economic development and welfare of developing countries. Within ODA, basic social services and development food aid focus on poverty alleviation in developing countries</w:t>
            </w:r>
            <w:r>
              <w:rPr>
                <w:rFonts w:ascii="Times New Roman" w:hAnsi="Times New Roman" w:eastAsia="SimSun" w:cs="Times New Roman"/>
                <w:color w:val="000000"/>
                <w:sz w:val="27"/>
                <w:szCs w:val="27"/>
              </w:rPr>
              <w:t>.</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pPr>
              <w:pStyle w:val="36"/>
            </w:p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pPr>
              <w:pStyle w:val="55"/>
              <w:spacing w:before="0" w:beforeAutospacing="0" w:after="0" w:afterAutospacing="0" w:line="276" w:lineRule="auto"/>
            </w:p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pPr>
              <w:pStyle w:val="36"/>
            </w:p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pPr>
              <w:pStyle w:val="36"/>
            </w:p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pPr>
              <w:pStyle w:val="36"/>
            </w:p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5" w:name="_Toc36813076"/>
            <w:bookmarkStart w:id="26" w:name="_Toc36655613"/>
            <w:bookmarkStart w:id="27" w:name="_Toc36812576"/>
            <w:bookmarkStart w:id="28" w:name="_Toc37932748"/>
            <w:bookmarkStart w:id="29" w:name="_Toc36812689"/>
            <w:r>
              <w:rPr>
                <w:sz w:val="32"/>
                <w:szCs w:val="32"/>
              </w:rPr>
              <w:t>5. Data availability and disaggregation</w:t>
            </w:r>
            <w:bookmarkEnd w:id="25"/>
            <w:bookmarkEnd w:id="26"/>
            <w:bookmarkEnd w:id="27"/>
            <w:bookmarkEnd w:id="28"/>
            <w:bookmarkEnd w:id="29"/>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Fonts w:eastAsia="Times New Roman" w:cs="Times New Roman"/>
                <w:color w:val="4A4A4A"/>
                <w:sz w:val="21"/>
                <w:szCs w:val="21"/>
                <w:lang w:eastAsia="en-GB"/>
              </w:rPr>
            </w:pPr>
            <w:r>
              <w:rPr>
                <w:rFonts w:eastAsia="Times New Roman" w:cs="Times New Roman"/>
                <w:color w:val="4A4A4A"/>
                <w:sz w:val="21"/>
                <w:szCs w:val="21"/>
                <w:lang w:eastAsia="en-GB"/>
              </w:rPr>
              <w:t>The data has been disaggregated into source of funds</w:t>
            </w: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pPr>
              <w:shd w:val="clear" w:color="auto" w:fill="FFFFFF"/>
              <w:spacing w:after="0"/>
              <w:rPr>
                <w:rStyle w:val="18"/>
              </w:rPr>
            </w:pPr>
            <w:r>
              <w:fldChar w:fldCharType="begin"/>
            </w:r>
            <w:r>
              <w:instrText xml:space="preserve"> HYPERLINK "https://unstats.un.org/sdgs/metadata/" </w:instrText>
            </w:r>
            <w:r>
              <w:fldChar w:fldCharType="separate"/>
            </w:r>
            <w:r>
              <w:rPr>
                <w:rStyle w:val="18"/>
              </w:rPr>
              <w:t>SDG Indicators — SDG Indicators (un.org)</w:t>
            </w:r>
            <w:r>
              <w:rPr>
                <w:rStyle w:val="18"/>
              </w:rPr>
              <w:fldChar w:fldCharType="end"/>
            </w:r>
          </w:p>
          <w:p>
            <w:pPr>
              <w:shd w:val="clear" w:color="auto" w:fill="FFFFFF"/>
              <w:spacing w:after="0"/>
              <w:rPr>
                <w:rStyle w:val="18"/>
              </w:rPr>
            </w:pPr>
          </w:p>
          <w:p>
            <w:pPr>
              <w:shd w:val="clear" w:color="auto" w:fill="FFFFFF"/>
              <w:spacing w:after="0"/>
              <w:rPr>
                <w:rStyle w:val="18"/>
                <w:rFonts w:hint="default"/>
                <w:lang w:eastAsia="en-GB"/>
              </w:rPr>
            </w:pPr>
            <w:r>
              <w:rPr>
                <w:rStyle w:val="18"/>
                <w:rFonts w:hint="default"/>
                <w:lang w:eastAsia="en-GB"/>
              </w:rPr>
              <w:fldChar w:fldCharType="begin"/>
            </w:r>
            <w:r>
              <w:rPr>
                <w:rStyle w:val="18"/>
                <w:rFonts w:hint="default"/>
                <w:lang w:eastAsia="en-GB"/>
              </w:rPr>
              <w:instrText xml:space="preserve"> HYPERLINK "https://www.oecd.org/dac/financing-sustainable-development/development-finance-standards/officialdevelopmentassistancedefinitionandcoverage.htm" </w:instrText>
            </w:r>
            <w:r>
              <w:rPr>
                <w:rStyle w:val="18"/>
                <w:rFonts w:hint="default"/>
                <w:lang w:eastAsia="en-GB"/>
              </w:rPr>
              <w:fldChar w:fldCharType="separate"/>
            </w:r>
            <w:r>
              <w:rPr>
                <w:rStyle w:val="18"/>
                <w:rFonts w:hint="default"/>
                <w:lang w:eastAsia="en-GB"/>
              </w:rPr>
              <w:t>https://www.oecd.org/dac/financing-sustainable-development/development-finance-standards/officialdevelopmentassistancedefinitionandcoverage.htm</w:t>
            </w:r>
            <w:r>
              <w:rPr>
                <w:rStyle w:val="18"/>
                <w:rFonts w:hint="default"/>
                <w:lang w:eastAsia="en-GB"/>
              </w:rPr>
              <w:fldChar w:fldCharType="end"/>
            </w:r>
          </w:p>
          <w:p>
            <w:pPr>
              <w:shd w:val="clear" w:color="auto" w:fill="FFFFFF"/>
              <w:spacing w:after="0"/>
              <w:rPr>
                <w:rStyle w:val="18"/>
                <w:rFonts w:hint="default"/>
                <w:lang w:eastAsia="en-GB"/>
              </w:rPr>
            </w:pPr>
            <w:r>
              <w:rPr>
                <w:rStyle w:val="18"/>
                <w:rFonts w:hint="default"/>
                <w:lang w:eastAsia="en-GB"/>
              </w:rPr>
              <w:t>https://www.oecd.org/development/financing-sustainable-development/development-finance-standards/purposecodessectorclassification.htm</w:t>
            </w:r>
          </w:p>
        </w:tc>
      </w:tr>
      <w:permEnd w:id="46"/>
    </w:tbl>
    <w:p>
      <w:pPr>
        <w:pStyle w:val="2"/>
        <w:rPr>
          <w:rFonts w:eastAsia="Times New Roman" w:cs="Times New Roman"/>
          <w:color w:val="1C75BC"/>
          <w:sz w:val="36"/>
          <w:szCs w:val="36"/>
          <w:lang w:val="en-GB" w:eastAsia="en-GB"/>
        </w:rPr>
      </w:pPr>
      <w:bookmarkStart w:id="30" w:name="_Toc37932751"/>
      <w:bookmarkStart w:id="31" w:name="Tips_and_Tricks"/>
      <w:bookmarkStart w:id="32" w:name="_Toc36655616"/>
      <w:bookmarkStart w:id="33"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0"/>
    </w:p>
    <w:bookmarkEnd w:id="31"/>
    <w:bookmarkEnd w:id="32"/>
    <w:p>
      <w:pPr>
        <w:pStyle w:val="33"/>
        <w:rPr>
          <w:sz w:val="28"/>
          <w:szCs w:val="28"/>
        </w:rPr>
      </w:pPr>
      <w:bookmarkStart w:id="34" w:name="_Toc37932752"/>
      <w:r>
        <w:rPr>
          <w:sz w:val="28"/>
          <w:szCs w:val="28"/>
        </w:rPr>
        <w:t>A. Definitions of Metadata Concepts</w:t>
      </w:r>
      <w:bookmarkEnd w:id="34"/>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1"/>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1"/>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1"/>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1"/>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1"/>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1"/>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1"/>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1"/>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1"/>
        <w:rPr>
          <w:sz w:val="22"/>
          <w:szCs w:val="22"/>
        </w:rPr>
      </w:pPr>
    </w:p>
    <w:p>
      <w:pPr>
        <w:pStyle w:val="11"/>
        <w:rPr>
          <w:sz w:val="22"/>
          <w:szCs w:val="22"/>
        </w:rPr>
      </w:pPr>
    </w:p>
    <w:p>
      <w:pPr>
        <w:pStyle w:val="11"/>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1"/>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3"/>
        <w:rPr>
          <w:sz w:val="28"/>
          <w:szCs w:val="28"/>
        </w:rPr>
      </w:pPr>
      <w:bookmarkStart w:id="35" w:name="_Toc37932753"/>
      <w:bookmarkStart w:id="36" w:name="Mapping"/>
      <w:r>
        <w:rPr>
          <w:sz w:val="28"/>
          <w:szCs w:val="28"/>
        </w:rPr>
        <w:t>B. Mapping of SDMX Detailed Concepts to IAEG-SDG File Format</w:t>
      </w:r>
      <w:bookmarkEnd w:id="35"/>
    </w:p>
    <w:bookmarkEnd w:id="36"/>
    <w:p>
      <w:pPr>
        <w:pStyle w:val="36"/>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6"/>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6"/>
      </w:pPr>
    </w:p>
    <w:p>
      <w:pPr>
        <w:pStyle w:val="33"/>
        <w:rPr>
          <w:sz w:val="28"/>
          <w:szCs w:val="28"/>
        </w:rPr>
      </w:pPr>
      <w:bookmarkStart w:id="37" w:name="_Toc37932754"/>
      <w:r>
        <w:rPr>
          <w:sz w:val="28"/>
          <w:szCs w:val="28"/>
        </w:rPr>
        <w:t>C. Mapping of IAEG-SDG File Format to SDMX Detailed Concepts</w:t>
      </w:r>
      <w:bookmarkEnd w:id="37"/>
    </w:p>
    <w:p>
      <w:pPr>
        <w:pStyle w:val="36"/>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6"/>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3"/>
    </w:tbl>
    <w:p>
      <w:pPr>
        <w:pStyle w:val="36"/>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Helvetica">
    <w:altName w:val="Arial"/>
    <w:panose1 w:val="020B0604020202020204"/>
    <w:charset w:val="00"/>
    <w:family w:val="auto"/>
    <w:pitch w:val="default"/>
    <w:sig w:usb0="00000000" w:usb1="00000000" w:usb2="00000000" w:usb3="00000000" w:csb0="00000000" w:csb1="0000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sdtPr>
    <w:sdtContent>
      <w:p>
        <w:pPr>
          <w:pStyle w:val="13"/>
          <w:jc w:val="right"/>
        </w:pPr>
        <w:r>
          <w:fldChar w:fldCharType="begin"/>
        </w:r>
        <w:r>
          <w:instrText xml:space="preserve"> PAGE   \* MERGEFORMAT </w:instrText>
        </w:r>
        <w:r>
          <w:fldChar w:fldCharType="separate"/>
        </w:r>
        <w:r>
          <w:t>3</w:t>
        </w:r>
        <w:r>
          <w:fldChar w:fldCharType="end"/>
        </w:r>
      </w:p>
    </w:sdtContent>
  </w:sdt>
  <w:p>
    <w:pPr>
      <w:pStyle w:val="13"/>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sdtPr>
    <w:sdtContent>
      <w:p>
        <w:pPr>
          <w:pStyle w:val="13"/>
          <w:jc w:val="right"/>
        </w:pPr>
        <w:r>
          <w:fldChar w:fldCharType="begin"/>
        </w:r>
        <w:r>
          <w:instrText xml:space="preserve"> PAGE   \* MERGEFORMAT </w:instrText>
        </w:r>
        <w:r>
          <w:fldChar w:fldCharType="separate"/>
        </w:r>
        <w:r>
          <w:t>1</w:t>
        </w:r>
        <w:r>
          <w:fldChar w:fldCharType="end"/>
        </w:r>
      </w:p>
    </w:sdtContent>
  </w:sdt>
  <w:p>
    <w:pPr>
      <w:pStyle w:val="13"/>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6"/>
        <w:rPr>
          <w:lang w:val="en-US"/>
        </w:rPr>
      </w:pPr>
      <w:r>
        <w:rPr>
          <w:rStyle w:val="14"/>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documentProtection w:edit="readOnly" w:enforcement="1"/>
  <w:defaultTabStop w:val="720"/>
  <w:noPunctuationKerning w:val="1"/>
  <w:characterSpacingControl w:val="doNotCompress"/>
  <w:footnotePr>
    <w:footnote w:id="2"/>
    <w:footnote w:id="3"/>
  </w:footnotePr>
  <w:endnotePr>
    <w:numFmt w:val="decimal"/>
    <w:endnote w:id="0"/>
    <w:endnote w:id="1"/>
  </w:endnotePr>
  <w:compat>
    <w:doNotExpandShiftReturn/>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9602A"/>
    <w:rsid w:val="001A0E35"/>
    <w:rsid w:val="001A6F28"/>
    <w:rsid w:val="001B6829"/>
    <w:rsid w:val="001C1BC2"/>
    <w:rsid w:val="001C67A9"/>
    <w:rsid w:val="001E1E26"/>
    <w:rsid w:val="001F0C55"/>
    <w:rsid w:val="001F31C6"/>
    <w:rsid w:val="00202B2D"/>
    <w:rsid w:val="0020618B"/>
    <w:rsid w:val="002132E6"/>
    <w:rsid w:val="0022035F"/>
    <w:rsid w:val="002313D6"/>
    <w:rsid w:val="00231D58"/>
    <w:rsid w:val="00235F8D"/>
    <w:rsid w:val="002525CC"/>
    <w:rsid w:val="002607BA"/>
    <w:rsid w:val="00266557"/>
    <w:rsid w:val="002806B7"/>
    <w:rsid w:val="0029558C"/>
    <w:rsid w:val="002A631A"/>
    <w:rsid w:val="002A6E7E"/>
    <w:rsid w:val="002C065D"/>
    <w:rsid w:val="002C550A"/>
    <w:rsid w:val="002E0D5D"/>
    <w:rsid w:val="002E449E"/>
    <w:rsid w:val="002E6DA3"/>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4BF"/>
    <w:rsid w:val="0052362A"/>
    <w:rsid w:val="0053509F"/>
    <w:rsid w:val="00535955"/>
    <w:rsid w:val="005370AC"/>
    <w:rsid w:val="00537550"/>
    <w:rsid w:val="005377B9"/>
    <w:rsid w:val="00544C77"/>
    <w:rsid w:val="00560EB1"/>
    <w:rsid w:val="00571DE4"/>
    <w:rsid w:val="005803B3"/>
    <w:rsid w:val="00581C4A"/>
    <w:rsid w:val="00581D14"/>
    <w:rsid w:val="005966A8"/>
    <w:rsid w:val="005B293A"/>
    <w:rsid w:val="005B657A"/>
    <w:rsid w:val="005C091C"/>
    <w:rsid w:val="005C4A8A"/>
    <w:rsid w:val="005C570B"/>
    <w:rsid w:val="005C76A1"/>
    <w:rsid w:val="005F5729"/>
    <w:rsid w:val="005F7B42"/>
    <w:rsid w:val="00604A6A"/>
    <w:rsid w:val="00611159"/>
    <w:rsid w:val="0061331D"/>
    <w:rsid w:val="00633477"/>
    <w:rsid w:val="00634E0C"/>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4687"/>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53EDC"/>
    <w:rsid w:val="008A5991"/>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2465"/>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BF048C"/>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B2186"/>
    <w:rsid w:val="00FD54D7"/>
    <w:rsid w:val="00FF642D"/>
    <w:rsid w:val="170702A4"/>
    <w:rsid w:val="2AFD11CC"/>
    <w:rsid w:val="342F64AC"/>
    <w:rsid w:val="37F64600"/>
    <w:rsid w:val="7A06645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qFormat="1" w:uiPriority="99" w:name="annotation text"/>
    <w:lsdException w:qFormat="1" w:uiPriority="99" w:semiHidden="0" w:name="header"/>
    <w:lsdException w:qFormat="1" w:uiPriority="99" w:semiHidden="0" w:name="footer"/>
    <w:lsdException w:uiPriority="99" w:name="index heading"/>
    <w:lsdException w:qFormat="1" w:uiPriority="35"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qFormat="1"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qFormat="1"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7"/>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2"/>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5"/>
    <w:semiHidden/>
    <w:unhideWhenUsed/>
    <w:qFormat/>
    <w:uiPriority w:val="99"/>
    <w:pPr>
      <w:spacing w:after="0" w:line="240" w:lineRule="auto"/>
    </w:pPr>
    <w:rPr>
      <w:rFonts w:ascii="Segoe UI" w:hAnsi="Segoe UI" w:cs="Segoe UI"/>
      <w:sz w:val="18"/>
      <w:szCs w:val="18"/>
    </w:rPr>
  </w:style>
  <w:style w:type="character" w:styleId="7">
    <w:name w:val="annotation reference"/>
    <w:basedOn w:val="4"/>
    <w:semiHidden/>
    <w:unhideWhenUsed/>
    <w:qFormat/>
    <w:uiPriority w:val="99"/>
    <w:rPr>
      <w:sz w:val="16"/>
      <w:szCs w:val="16"/>
    </w:rPr>
  </w:style>
  <w:style w:type="paragraph" w:styleId="8">
    <w:name w:val="annotation text"/>
    <w:basedOn w:val="1"/>
    <w:link w:val="48"/>
    <w:semiHidden/>
    <w:unhideWhenUsed/>
    <w:qFormat/>
    <w:uiPriority w:val="99"/>
    <w:pPr>
      <w:spacing w:line="240" w:lineRule="auto"/>
    </w:pPr>
    <w:rPr>
      <w:sz w:val="20"/>
      <w:szCs w:val="20"/>
    </w:rPr>
  </w:style>
  <w:style w:type="paragraph" w:styleId="9">
    <w:name w:val="annotation subject"/>
    <w:basedOn w:val="8"/>
    <w:next w:val="8"/>
    <w:link w:val="49"/>
    <w:semiHidden/>
    <w:unhideWhenUsed/>
    <w:qFormat/>
    <w:uiPriority w:val="99"/>
    <w:rPr>
      <w:b/>
      <w:bCs/>
    </w:rPr>
  </w:style>
  <w:style w:type="character" w:styleId="10">
    <w:name w:val="endnote reference"/>
    <w:basedOn w:val="4"/>
    <w:semiHidden/>
    <w:unhideWhenUsed/>
    <w:qFormat/>
    <w:uiPriority w:val="99"/>
    <w:rPr>
      <w:vertAlign w:val="superscript"/>
    </w:rPr>
  </w:style>
  <w:style w:type="paragraph" w:styleId="11">
    <w:name w:val="endnote text"/>
    <w:basedOn w:val="1"/>
    <w:link w:val="51"/>
    <w:unhideWhenUsed/>
    <w:qFormat/>
    <w:uiPriority w:val="99"/>
    <w:pPr>
      <w:spacing w:after="0" w:line="240" w:lineRule="auto"/>
    </w:pPr>
    <w:rPr>
      <w:sz w:val="20"/>
      <w:szCs w:val="20"/>
    </w:rPr>
  </w:style>
  <w:style w:type="character" w:styleId="12">
    <w:name w:val="FollowedHyperlink"/>
    <w:basedOn w:val="4"/>
    <w:semiHidden/>
    <w:unhideWhenUsed/>
    <w:qFormat/>
    <w:uiPriority w:val="99"/>
    <w:rPr>
      <w:color w:val="954F72" w:themeColor="followedHyperlink"/>
      <w:u w:val="single"/>
      <w14:textFill>
        <w14:solidFill>
          <w14:schemeClr w14:val="folHlink"/>
        </w14:solidFill>
      </w14:textFill>
    </w:rPr>
  </w:style>
  <w:style w:type="paragraph" w:styleId="13">
    <w:name w:val="footer"/>
    <w:basedOn w:val="1"/>
    <w:link w:val="46"/>
    <w:unhideWhenUsed/>
    <w:qFormat/>
    <w:uiPriority w:val="99"/>
    <w:pPr>
      <w:tabs>
        <w:tab w:val="center" w:pos="4680"/>
        <w:tab w:val="right" w:pos="9360"/>
      </w:tabs>
      <w:spacing w:after="0" w:line="240" w:lineRule="auto"/>
    </w:pPr>
  </w:style>
  <w:style w:type="character" w:styleId="14">
    <w:name w:val="footnote reference"/>
    <w:basedOn w:val="4"/>
    <w:link w:val="15"/>
    <w:unhideWhenUsed/>
    <w:qFormat/>
    <w:uiPriority w:val="99"/>
    <w:rPr>
      <w:vertAlign w:val="superscript"/>
    </w:rPr>
  </w:style>
  <w:style w:type="paragraph" w:customStyle="1" w:styleId="15">
    <w:name w:val="BVI fnr Char1 Char Char Char Char Char"/>
    <w:basedOn w:val="1"/>
    <w:link w:val="14"/>
    <w:qFormat/>
    <w:uiPriority w:val="99"/>
    <w:pPr>
      <w:spacing w:line="240" w:lineRule="exact"/>
      <w:jc w:val="both"/>
    </w:pPr>
    <w:rPr>
      <w:vertAlign w:val="superscript"/>
    </w:rPr>
  </w:style>
  <w:style w:type="paragraph" w:styleId="16">
    <w:name w:val="footnote text"/>
    <w:basedOn w:val="1"/>
    <w:link w:val="43"/>
    <w:semiHidden/>
    <w:unhideWhenUsed/>
    <w:qFormat/>
    <w:uiPriority w:val="99"/>
    <w:pPr>
      <w:spacing w:after="0" w:line="240" w:lineRule="auto"/>
    </w:pPr>
    <w:rPr>
      <w:rFonts w:eastAsiaTheme="minorEastAsia"/>
      <w:sz w:val="20"/>
      <w:szCs w:val="20"/>
      <w:lang w:val="en-GB" w:eastAsia="zh-CN"/>
    </w:rPr>
  </w:style>
  <w:style w:type="paragraph" w:styleId="17">
    <w:name w:val="header"/>
    <w:basedOn w:val="1"/>
    <w:link w:val="35"/>
    <w:unhideWhenUsed/>
    <w:qFormat/>
    <w:uiPriority w:val="99"/>
    <w:pPr>
      <w:tabs>
        <w:tab w:val="center" w:pos="4513"/>
        <w:tab w:val="right" w:pos="9026"/>
      </w:tabs>
      <w:spacing w:after="0" w:line="240" w:lineRule="auto"/>
    </w:pPr>
    <w:rPr>
      <w:rFonts w:eastAsiaTheme="minorEastAsia"/>
      <w:lang w:val="en-GB" w:eastAsia="zh-CN"/>
    </w:rPr>
  </w:style>
  <w:style w:type="character" w:styleId="18">
    <w:name w:val="Hyperlink"/>
    <w:basedOn w:val="4"/>
    <w:unhideWhenUsed/>
    <w:qFormat/>
    <w:uiPriority w:val="99"/>
    <w:rPr>
      <w:color w:val="0563C1" w:themeColor="hyperlink"/>
      <w:u w:val="single"/>
      <w14:textFill>
        <w14:solidFill>
          <w14:schemeClr w14:val="hlink"/>
        </w14:solidFill>
      </w14:textFill>
    </w:rPr>
  </w:style>
  <w:style w:type="paragraph" w:styleId="19">
    <w:name w:val="Normal (Web)"/>
    <w:semiHidden/>
    <w:unhideWhenUsed/>
    <w:qFormat/>
    <w:uiPriority w:val="99"/>
    <w:pPr>
      <w:spacing w:beforeAutospacing="1" w:afterAutospacing="1"/>
    </w:pPr>
    <w:rPr>
      <w:rFonts w:ascii="Times New Roman" w:hAnsi="Times New Roman" w:eastAsia="SimSun" w:cs="Times New Roman"/>
      <w:sz w:val="24"/>
      <w:szCs w:val="24"/>
      <w:lang w:val="en-US" w:eastAsia="zh-CN" w:bidi="ar-SA"/>
    </w:rPr>
  </w:style>
  <w:style w:type="character" w:styleId="20">
    <w:name w:val="Strong"/>
    <w:basedOn w:val="4"/>
    <w:qFormat/>
    <w:uiPriority w:val="22"/>
    <w:rPr>
      <w:b/>
      <w:bCs/>
    </w:rPr>
  </w:style>
  <w:style w:type="paragraph" w:styleId="21">
    <w:name w:val="Subtitle"/>
    <w:basedOn w:val="1"/>
    <w:next w:val="1"/>
    <w:link w:val="3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2">
    <w:name w:val="Table Grid"/>
    <w:basedOn w:val="5"/>
    <w:qFormat/>
    <w:uiPriority w:val="59"/>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3">
    <w:name w:val="Title"/>
    <w:basedOn w:val="1"/>
    <w:next w:val="1"/>
    <w:link w:val="29"/>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4">
    <w:name w:val="toc 1"/>
    <w:basedOn w:val="1"/>
    <w:next w:val="1"/>
    <w:unhideWhenUsed/>
    <w:qFormat/>
    <w:uiPriority w:val="39"/>
    <w:pPr>
      <w:spacing w:after="100"/>
    </w:pPr>
  </w:style>
  <w:style w:type="paragraph" w:styleId="25">
    <w:name w:val="toc 2"/>
    <w:basedOn w:val="1"/>
    <w:next w:val="1"/>
    <w:unhideWhenUsed/>
    <w:qFormat/>
    <w:uiPriority w:val="39"/>
    <w:pPr>
      <w:spacing w:after="100"/>
      <w:ind w:left="220"/>
    </w:pPr>
  </w:style>
  <w:style w:type="paragraph" w:styleId="26">
    <w:name w:val="toc 3"/>
    <w:basedOn w:val="1"/>
    <w:next w:val="1"/>
    <w:unhideWhenUsed/>
    <w:qFormat/>
    <w:uiPriority w:val="39"/>
    <w:pPr>
      <w:spacing w:after="100"/>
      <w:ind w:left="440"/>
    </w:pPr>
  </w:style>
  <w:style w:type="character" w:customStyle="1" w:styleId="27">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8">
    <w:name w:val="TOC Heading1"/>
    <w:basedOn w:val="2"/>
    <w:next w:val="1"/>
    <w:unhideWhenUsed/>
    <w:qFormat/>
    <w:uiPriority w:val="39"/>
    <w:pPr>
      <w:outlineLvl w:val="9"/>
    </w:pPr>
  </w:style>
  <w:style w:type="character" w:customStyle="1" w:styleId="29">
    <w:name w:val="Title Char"/>
    <w:basedOn w:val="4"/>
    <w:link w:val="23"/>
    <w:qFormat/>
    <w:uiPriority w:val="10"/>
    <w:rPr>
      <w:rFonts w:asciiTheme="majorHAnsi" w:hAnsiTheme="majorHAnsi" w:eastAsiaTheme="majorEastAsia" w:cstheme="majorBidi"/>
      <w:spacing w:val="-10"/>
      <w:kern w:val="28"/>
      <w:sz w:val="56"/>
      <w:szCs w:val="56"/>
    </w:rPr>
  </w:style>
  <w:style w:type="character" w:customStyle="1" w:styleId="30">
    <w:name w:val="Subtitle Char"/>
    <w:basedOn w:val="4"/>
    <w:link w:val="21"/>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1">
    <w:name w:val="M.G+T.Header"/>
    <w:basedOn w:val="1"/>
    <w:link w:val="32"/>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2">
    <w:name w:val="M.G+T.Header Char"/>
    <w:basedOn w:val="4"/>
    <w:link w:val="31"/>
    <w:qFormat/>
    <w:uiPriority w:val="0"/>
    <w:rPr>
      <w:rFonts w:eastAsia="Times New Roman" w:cs="Times New Roman"/>
      <w:color w:val="333333"/>
      <w:sz w:val="21"/>
      <w:szCs w:val="21"/>
      <w:shd w:val="clear" w:color="auto" w:fill="F5F5F5"/>
      <w:lang w:val="en-GB" w:eastAsia="en-GB"/>
    </w:rPr>
  </w:style>
  <w:style w:type="paragraph" w:customStyle="1" w:styleId="33">
    <w:name w:val="M.Ind.Header"/>
    <w:basedOn w:val="1"/>
    <w:link w:val="34"/>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4">
    <w:name w:val="M.Ind.Header Char"/>
    <w:basedOn w:val="4"/>
    <w:link w:val="33"/>
    <w:qFormat/>
    <w:uiPriority w:val="0"/>
    <w:rPr>
      <w:rFonts w:eastAsia="Times New Roman" w:cs="Times New Roman"/>
      <w:color w:val="1C75BC"/>
      <w:shd w:val="clear" w:color="auto" w:fill="F5F5F5"/>
      <w:lang w:val="en-GB" w:eastAsia="en-GB"/>
    </w:rPr>
  </w:style>
  <w:style w:type="character" w:customStyle="1" w:styleId="35">
    <w:name w:val="Header Char"/>
    <w:basedOn w:val="4"/>
    <w:link w:val="17"/>
    <w:qFormat/>
    <w:uiPriority w:val="99"/>
    <w:rPr>
      <w:rFonts w:eastAsiaTheme="minorEastAsia"/>
      <w:lang w:val="en-GB" w:eastAsia="zh-CN"/>
    </w:rPr>
  </w:style>
  <w:style w:type="paragraph" w:customStyle="1" w:styleId="36">
    <w:name w:val="M.Text"/>
    <w:basedOn w:val="1"/>
    <w:link w:val="37"/>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7">
    <w:name w:val="M.Text Char"/>
    <w:basedOn w:val="4"/>
    <w:link w:val="36"/>
    <w:qFormat/>
    <w:uiPriority w:val="0"/>
    <w:rPr>
      <w:rFonts w:eastAsia="Times New Roman" w:cs="Times New Roman"/>
      <w:color w:val="4A4A4A"/>
      <w:sz w:val="21"/>
      <w:szCs w:val="21"/>
      <w:shd w:val="clear" w:color="auto" w:fill="FFFFFF"/>
      <w:lang w:val="en-GB" w:eastAsia="en-GB"/>
    </w:rPr>
  </w:style>
  <w:style w:type="table" w:customStyle="1" w:styleId="38">
    <w:name w:val="Grid Table 1 Light1"/>
    <w:basedOn w:val="5"/>
    <w:qFormat/>
    <w:uiPriority w:val="46"/>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9">
    <w:name w:val="M.Header"/>
    <w:basedOn w:val="1"/>
    <w:link w:val="40"/>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40">
    <w:name w:val="M.Header Char"/>
    <w:basedOn w:val="4"/>
    <w:link w:val="39"/>
    <w:qFormat/>
    <w:uiPriority w:val="0"/>
    <w:rPr>
      <w:rFonts w:eastAsia="Times New Roman" w:cs="Times New Roman"/>
      <w:color w:val="1C75BC"/>
      <w:sz w:val="36"/>
      <w:szCs w:val="36"/>
      <w:shd w:val="clear" w:color="auto" w:fill="FFFFFF"/>
      <w:lang w:val="en-GB" w:eastAsia="en-GB"/>
    </w:rPr>
  </w:style>
  <w:style w:type="paragraph" w:customStyle="1" w:styleId="41">
    <w:name w:val="M.Sub.Header"/>
    <w:basedOn w:val="1"/>
    <w:link w:val="42"/>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2">
    <w:name w:val="M.Sub.Header Char"/>
    <w:basedOn w:val="4"/>
    <w:link w:val="41"/>
    <w:qFormat/>
    <w:uiPriority w:val="0"/>
    <w:rPr>
      <w:rFonts w:eastAsia="Times New Roman" w:cs="Times New Roman"/>
      <w:b/>
      <w:bCs/>
      <w:color w:val="4A4A4A"/>
      <w:sz w:val="21"/>
      <w:szCs w:val="21"/>
      <w:shd w:val="clear" w:color="auto" w:fill="FFFFFF"/>
      <w:lang w:val="en-GB" w:eastAsia="en-GB"/>
    </w:rPr>
  </w:style>
  <w:style w:type="character" w:customStyle="1" w:styleId="43">
    <w:name w:val="Footnote Text Char"/>
    <w:basedOn w:val="4"/>
    <w:link w:val="16"/>
    <w:semiHidden/>
    <w:qFormat/>
    <w:uiPriority w:val="99"/>
    <w:rPr>
      <w:rFonts w:eastAsiaTheme="minorEastAsia"/>
      <w:sz w:val="20"/>
      <w:szCs w:val="20"/>
      <w:lang w:val="en-GB" w:eastAsia="zh-CN"/>
    </w:rPr>
  </w:style>
  <w:style w:type="paragraph" w:styleId="44">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5">
    <w:name w:val="Balloon Text Char"/>
    <w:basedOn w:val="4"/>
    <w:link w:val="6"/>
    <w:semiHidden/>
    <w:qFormat/>
    <w:uiPriority w:val="99"/>
    <w:rPr>
      <w:rFonts w:ascii="Segoe UI" w:hAnsi="Segoe UI" w:cs="Segoe UI"/>
      <w:sz w:val="18"/>
      <w:szCs w:val="18"/>
    </w:rPr>
  </w:style>
  <w:style w:type="character" w:customStyle="1" w:styleId="46">
    <w:name w:val="Footer Char"/>
    <w:basedOn w:val="4"/>
    <w:link w:val="13"/>
    <w:qFormat/>
    <w:uiPriority w:val="99"/>
  </w:style>
  <w:style w:type="character" w:customStyle="1" w:styleId="47">
    <w:name w:val="Unresolved Mention1"/>
    <w:basedOn w:val="4"/>
    <w:semiHidden/>
    <w:unhideWhenUsed/>
    <w:qFormat/>
    <w:uiPriority w:val="99"/>
    <w:rPr>
      <w:color w:val="605E5C"/>
      <w:shd w:val="clear" w:color="auto" w:fill="E1DFDD"/>
    </w:rPr>
  </w:style>
  <w:style w:type="character" w:customStyle="1" w:styleId="48">
    <w:name w:val="Comment Text Char"/>
    <w:basedOn w:val="4"/>
    <w:link w:val="8"/>
    <w:semiHidden/>
    <w:qFormat/>
    <w:uiPriority w:val="99"/>
    <w:rPr>
      <w:sz w:val="20"/>
      <w:szCs w:val="20"/>
    </w:rPr>
  </w:style>
  <w:style w:type="character" w:customStyle="1" w:styleId="49">
    <w:name w:val="Comment Subject Char"/>
    <w:basedOn w:val="48"/>
    <w:link w:val="9"/>
    <w:semiHidden/>
    <w:qFormat/>
    <w:uiPriority w:val="99"/>
    <w:rPr>
      <w:b/>
      <w:bCs/>
      <w:sz w:val="20"/>
      <w:szCs w:val="20"/>
    </w:rPr>
  </w:style>
  <w:style w:type="character" w:styleId="50">
    <w:name w:val="Placeholder Text"/>
    <w:basedOn w:val="4"/>
    <w:semiHidden/>
    <w:qFormat/>
    <w:uiPriority w:val="99"/>
    <w:rPr>
      <w:color w:val="808080"/>
    </w:rPr>
  </w:style>
  <w:style w:type="character" w:customStyle="1" w:styleId="51">
    <w:name w:val="Endnote Text Char"/>
    <w:basedOn w:val="4"/>
    <w:link w:val="11"/>
    <w:qFormat/>
    <w:uiPriority w:val="99"/>
    <w:rPr>
      <w:sz w:val="20"/>
      <w:szCs w:val="20"/>
    </w:rPr>
  </w:style>
  <w:style w:type="character" w:customStyle="1" w:styleId="52">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3">
    <w:name w:val="Default"/>
    <w:qFormat/>
    <w:uiPriority w:val="0"/>
    <w:pPr>
      <w:autoSpaceDE w:val="0"/>
      <w:autoSpaceDN w:val="0"/>
      <w:adjustRightInd w:val="0"/>
    </w:pPr>
    <w:rPr>
      <w:rFonts w:ascii="Calibri" w:hAnsi="Calibri" w:cs="Calibri" w:eastAsiaTheme="minorEastAsia"/>
      <w:color w:val="000000"/>
      <w:sz w:val="24"/>
      <w:szCs w:val="24"/>
      <w:lang w:val="en-US" w:eastAsia="zh-CN" w:bidi="ar-SA"/>
    </w:rPr>
  </w:style>
  <w:style w:type="character" w:customStyle="1" w:styleId="54">
    <w:name w:val="Unresolved Mention2"/>
    <w:basedOn w:val="4"/>
    <w:semiHidden/>
    <w:unhideWhenUsed/>
    <w:qFormat/>
    <w:uiPriority w:val="99"/>
    <w:rPr>
      <w:color w:val="605E5C"/>
      <w:shd w:val="clear" w:color="auto" w:fill="E1DFDD"/>
    </w:rPr>
  </w:style>
  <w:style w:type="paragraph" w:customStyle="1" w:styleId="55">
    <w:name w:val="form-control-static"/>
    <w:basedOn w:val="1"/>
    <w:qFormat/>
    <w:uiPriority w:val="0"/>
    <w:pPr>
      <w:spacing w:before="100" w:beforeAutospacing="1" w:after="100" w:afterAutospacing="1" w:line="240" w:lineRule="auto"/>
    </w:pPr>
    <w:rPr>
      <w:rFonts w:ascii="Times New Roman" w:hAnsi="Times New Roman" w:eastAsia="Times New Roman" w:cs="Times New Roman"/>
      <w:sz w:val="24"/>
      <w:szCs w:val="24"/>
      <w:lang w:val="en-GB" w:eastAsia="en-GB"/>
    </w:rPr>
  </w:style>
  <w:style w:type="character" w:customStyle="1" w:styleId="56">
    <w:name w:val="apple-converted-space"/>
    <w:basedOn w:val="4"/>
    <w:qFormat/>
    <w:uiPriority w:val="0"/>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3.bin"/></Relationships>
</file>

<file path=word/activeX/_rels/activeX2.xml.rels><?xml version="1.0" encoding="UTF-8" standalone="yes"?>
<Relationships xmlns="http://schemas.openxmlformats.org/package/2006/relationships"><Relationship Id="rId1" Type="http://schemas.microsoft.com/office/2006/relationships/activeXControlBinary" Target="activeX1.bin"/></Relationships>
</file>

<file path=word/activeX/_rels/activeX3.xml.rels><?xml version="1.0" encoding="UTF-8" standalone="yes"?>
<Relationships xmlns="http://schemas.openxmlformats.org/package/2006/relationships"><Relationship Id="rId1" Type="http://schemas.microsoft.com/office/2006/relationships/activeXControlBinary" Target="activeX2.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45767"/>
    <w:rsid w:val="0036646D"/>
    <w:rsid w:val="006153AA"/>
    <w:rsid w:val="0064052E"/>
    <w:rsid w:val="00760A1F"/>
    <w:rsid w:val="00C41B8A"/>
    <w:rsid w:val="00DA061B"/>
    <w:rsid w:val="00E01850"/>
    <w:rsid w:val="00E4246B"/>
    <w:rsid w:val="00E95E77"/>
    <w:rsid w:val="00EB042B"/>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qFormat="1"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qFormat/>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p:properties xmlns:p="http://schemas.microsoft.com/office/2006/metadata/properties" xmlns:xsi="http://www.w3.org/2001/XMLSchema-instance" xmlns:pc="http://schemas.microsoft.com/office/infopath/2007/PartnerControls">
  <documentManagement/>
</p:properties>
</file>

<file path=customXml/item4.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57E59553-E217-482E-8EE7-C905E1600DAA}">
  <ds:schemaRefs/>
</ds:datastoreItem>
</file>

<file path=customXml/itemProps4.xml><?xml version="1.0" encoding="utf-8"?>
<ds:datastoreItem xmlns:ds="http://schemas.openxmlformats.org/officeDocument/2006/customXml" ds:itemID="{67CC5AD4-9B9B-4EDB-9471-43F888CED1F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12</Pages>
  <Words>216004</Words>
  <Characters>1231229</Characters>
  <Lines>10260</Lines>
  <Paragraphs>2888</Paragraphs>
  <TotalTime>21</TotalTime>
  <ScaleCrop>false</ScaleCrop>
  <LinksUpToDate>false</LinksUpToDate>
  <CharactersWithSpaces>1444345</CharactersWithSpaces>
  <Application>WPS Office_11.2.0.11380_F1E327BC-269C-435d-A152-05C5408002CA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2021-10-29T14:19:00Z</dcterms:created>
  <dc:creator>Fanning, Stephen B (JMD)</dc:creator>
  <cp:lastModifiedBy>Doreen</cp:lastModifiedBy>
  <cp:lastPrinted>2020-04-16T14:23:00Z</cp:lastPrinted>
  <dcterms:modified xsi:type="dcterms:W3CDTF">2022-11-07T20:36:13Z</dcterms:modified>
  <cp:revision>8</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1033-11.2.0.11380</vt:lpwstr>
  </property>
  <property fmtid="{D5CDD505-2E9C-101B-9397-08002B2CF9AE}" pid="4" name="ICV">
    <vt:lpwstr>DF4D91694FFA452B9F4CC2152CF9C35D</vt:lpwstr>
  </property>
</Properties>
</file>