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1.a.2 Proportion of total government spending on essential services, education [1.a.2] (SD_XPD_ESED)</w:t>
          </w:r>
          <w:bookmarkEnd w:id="1"/>
        </w:p>
      </w:sdtContent>
    </w:sdt>
    <w:permEnd w:id="1"/>
    <w:p>
      <w:pPr>
        <w:spacing w:after="0"/>
        <w:rPr>
          <w:sz w:val="26"/>
          <w:szCs w:val="26"/>
        </w:rPr>
      </w:pPr>
    </w:p>
    <w:p>
      <w:pPr>
        <w:spacing w:after="0"/>
        <w:rPr>
          <w:sz w:val="26"/>
          <w:szCs w:val="26"/>
        </w:rPr>
      </w:pPr>
      <w:r>
        <w:rPr>
          <w:sz w:val="26"/>
          <w:szCs w:val="26"/>
        </w:rPr>
        <w:object>
          <v:shape id="_x0000_i1025" o:spt="201" alt="" type="#_x0000_t201" style="height:24pt;width:72pt;" o:ole="t" filled="f" o:preferrelative="t" stroked="f" coordsize="21600,21600">
            <v:path/>
            <v:fill on="f" focussize="0,0"/>
            <v:stroke on="f"/>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alt="" type="#_x0000_t201" style="height:24pt;width:91.5pt;" o:ole="t" filled="f" o:preferrelative="t" stroked="f" coordsize="21600,21600">
            <v:path/>
            <v:fill on="f" focussize="0,0"/>
            <v:stroke on="f"/>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alt="" type="#_x0000_t201" style="height:24pt;width:139.85pt;" o:ole="t" filled="f" o:preferrelative="t" stroked="f" coordsize="21600,21600">
            <v:path/>
            <v:fill on="f" focussize="0,0"/>
            <v:stroke on="f"/>
            <v:imagedata r:id="rId13" o:title=""/>
            <o:lock v:ext="edit" aspectratio="t"/>
            <w10:wrap type="none"/>
            <w10:anchorlock/>
          </v:shape>
          <w:control r:id="rId12" w:name="ImportSdmxDsd" w:shapeid="_x0000_i1027"/>
        </w:object>
      </w:r>
      <w:r>
        <w:t xml:space="preserve">             </w:t>
      </w:r>
      <w:r>
        <w:object>
          <v:shape id="_x0000_i1028" o:spt="201" alt="" type="#_x0000_t201" style="height:24pt;width:199.85pt;" o:ole="t" filled="f" o:preferrelative="t" stroked="f" coordsize="21600,21600">
            <v:path/>
            <v:fill on="f" focussize="0,0"/>
            <v:stroke on="f"/>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2684"/>
            <w:bookmarkStart w:id="5" w:name="_Toc36813071"/>
            <w:bookmarkStart w:id="6" w:name="_Toc37932743"/>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pPr>
            <w:r>
              <w:rPr>
                <w:rFonts w:cstheme="minorHAnsi"/>
              </w:rP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bidi w:val="0"/>
            </w:pPr>
            <w:r>
              <w:t>Target 1.a: Ensure significant mobilization of resources from a variety of sources, including through enhanced development cooperation, in order to provide adequate and predictable means for developing countries, in particular least developed countries, to implement programmes and policies to end poverty in all its dimensions</w:t>
            </w:r>
          </w:p>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bidi w:val="0"/>
            </w:pPr>
            <w:r>
              <w:t>Indicator 1.a.2: Proportion of total government spending on essential services (ed</w:t>
            </w:r>
            <w:bookmarkStart w:id="38" w:name="_GoBack"/>
            <w:bookmarkEnd w:id="38"/>
            <w:r>
              <w:t>ucation, health and social protection)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r>
              <w:rPr>
                <w:rFonts w:hint="default" w:eastAsia="Helvetica" w:cs="Helvetica" w:asciiTheme="minorAscii" w:hAnsiTheme="minorAscii"/>
                <w:i w:val="0"/>
                <w:iCs w:val="0"/>
                <w:caps w:val="0"/>
                <w:color w:val="0B0C0C"/>
                <w:spacing w:val="0"/>
                <w:sz w:val="22"/>
                <w:szCs w:val="22"/>
                <w:shd w:val="clear" w:fill="FFFFFF"/>
              </w:rPr>
              <w:t>Proportion of total government spending on health [1.a.2]</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bidi w:val="0"/>
            </w:pPr>
            <w:r>
              <w:t>UNESCO Institute for Statistics (UNESCO-UIS)</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7932744"/>
            <w:bookmarkStart w:id="9" w:name="_Toc36813072"/>
            <w:bookmarkStart w:id="10" w:name="_Toc36655609"/>
            <w:bookmarkStart w:id="11" w:name="_Toc36812572"/>
            <w:bookmarkStart w:id="12" w:name="_Toc36812685"/>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Ministry of Finance, Ministry of Health</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655610"/>
            <w:bookmarkStart w:id="14" w:name="_Toc36812686"/>
            <w:bookmarkStart w:id="15" w:name="_Toc37932745"/>
            <w:bookmarkStart w:id="16" w:name="_Toc36813073"/>
            <w:bookmarkStart w:id="17" w:name="_Toc36812573"/>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Style w:val="20"/>
                <w:rFonts w:cs="Times New Roman"/>
                <w:color w:val="4A4A4A"/>
                <w:sz w:val="22"/>
                <w:szCs w:val="22"/>
              </w:rPr>
            </w:pPr>
            <w:r>
              <w:rPr>
                <w:rStyle w:val="20"/>
                <w:rFonts w:cs="Times New Roman"/>
                <w:color w:val="4A4A4A"/>
                <w:sz w:val="22"/>
                <w:szCs w:val="22"/>
              </w:rPr>
              <w:t>Definition:</w:t>
            </w:r>
          </w:p>
          <w:p>
            <w:pPr>
              <w:bidi w:val="0"/>
            </w:pPr>
            <w:r>
              <w:t>Total general (local, regional and central) government expenditure on education (current, capital, and transfers), expressed as a percentage of total general government expenditure on all sectors (including health, education, social services, etc.). It includes expenditure funded by transfers from international sources to the government.</w:t>
            </w:r>
          </w:p>
          <w:p>
            <w:pPr>
              <w:pStyle w:val="56"/>
              <w:shd w:val="clear" w:color="auto" w:fill="FFFFFF"/>
              <w:spacing w:before="0" w:beforeAutospacing="0" w:after="0" w:afterAutospacing="0"/>
              <w:rPr>
                <w:rFonts w:asciiTheme="minorHAnsi" w:hAnsiTheme="minorHAnsi"/>
                <w:color w:val="4A4A4A"/>
                <w:sz w:val="22"/>
                <w:szCs w:val="22"/>
              </w:rPr>
            </w:pPr>
          </w:p>
          <w:p>
            <w:pPr>
              <w:shd w:val="clear" w:color="auto" w:fill="FFFFFF"/>
              <w:spacing w:after="0"/>
              <w:rPr>
                <w:rFonts w:cs="Times New Roman"/>
                <w:color w:val="4A4A4A"/>
                <w:sz w:val="22"/>
                <w:szCs w:val="22"/>
              </w:rPr>
            </w:pPr>
            <w:r>
              <w:rPr>
                <w:rStyle w:val="20"/>
                <w:rFonts w:cs="Times New Roman"/>
                <w:color w:val="4A4A4A"/>
                <w:sz w:val="22"/>
                <w:szCs w:val="22"/>
              </w:rPr>
              <w:t>Concepts:</w:t>
            </w:r>
          </w:p>
          <w:p>
            <w:pPr>
              <w:bidi w:val="0"/>
            </w:pPr>
            <w:r>
              <w:rPr>
                <w:rFonts w:asciiTheme="minorHAnsi" w:hAnsiTheme="minorHAnsi"/>
                <w:color w:val="4A4A4A"/>
                <w:szCs w:val="22"/>
              </w:rPr>
              <w:t xml:space="preserve">Government expenditure on education covers educational </w:t>
            </w:r>
            <w:r>
              <w:t>expenditure by all levels of government (local, regional, central) on the formal education system, from early childhood to tertiary education, in both public and private instructional and non-instructional institutions within the borders of a country.</w:t>
            </w:r>
          </w:p>
          <w:p>
            <w:pPr>
              <w:bidi w:val="0"/>
            </w:pPr>
            <w:r>
              <w:t>Expenditure on education includes expenditure on core educational goods and services, such as teaching staff, school buildings, or school books and teaching materials, and peripheral educational goods and services such as ancillary services, general administration and other activities.</w:t>
            </w:r>
          </w:p>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rPr>
                <w:rFonts w:hint="default"/>
                <w:lang w:val="en-US"/>
              </w:rPr>
              <w:t>P</w:t>
            </w:r>
            <w:r>
              <w:t>ercentage</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bidi w:val="0"/>
            </w:pPr>
            <w:r>
              <w:rPr>
                <w:rFonts w:hint="default"/>
              </w:rPr>
              <w:t>2019 Programme Based Budgets of Ministry; 2019 Programme Based Budgets of Ministry of Health</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r>
              <w:t>Ministry of Health</w:t>
            </w:r>
          </w:p>
          <w:p>
            <w:r>
              <w:t>Ministry of Finance</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US"/>
              </w:rPr>
            </w:pPr>
            <w:r>
              <w:rPr>
                <w:rFonts w:hint="default"/>
                <w:lang w:val="en-US"/>
              </w:rPr>
              <w:t>Ghana Statistical Service</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688"/>
            <w:bookmarkStart w:id="21" w:name="_Toc36813075"/>
            <w:bookmarkStart w:id="22" w:name="_Toc36812575"/>
            <w:bookmarkStart w:id="23" w:name="_Toc37932747"/>
            <w:bookmarkStart w:id="24" w:name="_Toc36655612"/>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The indicator measures the extent to which public spending in three key areas which are critical for poverty eradication, including health, education, and other direct transfers is directly allocated to individuals or households in the monetary poor as per the national definition.</w:t>
            </w:r>
          </w:p>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The indicator measures if public spending is targeting the monetary poor. Pro-poor social spending is defined if the proportion of government expenditures on social services is higher than the proportion of the population, measured at the level determined by national definition of income/consumption poverty (consistent with SDG 1.2.1). For instance, if the proportion of public spending received by the poor exceeds (falls below) the proportion of poor as defined by national definitions, public expenditures can be interpreted as pro-poor (not pro-poor). This is a strong measurement of the financial commitment governments make to target their services and transfers on the poor groups of society, reinforcing pro-poor development strategies.</w:t>
            </w:r>
          </w:p>
          <w:p>
            <w:pPr>
              <w:pStyle w:val="19"/>
              <w:keepNext w:val="0"/>
              <w:keepLines w:val="0"/>
              <w:widowControl/>
              <w:suppressLineNumbers w:val="0"/>
              <w:ind w:left="0" w:firstLine="0"/>
              <w:rPr>
                <w:rFonts w:hint="default" w:asciiTheme="minorAscii" w:hAnsiTheme="minorAscii" w:eastAsiaTheme="minorEastAsia" w:cstheme="minorEastAsia"/>
                <w:i w:val="0"/>
                <w:iCs w:val="0"/>
                <w:caps w:val="0"/>
                <w:color w:val="000000"/>
                <w:spacing w:val="0"/>
                <w:sz w:val="22"/>
                <w:szCs w:val="22"/>
              </w:rPr>
            </w:pPr>
            <w:r>
              <w:rPr>
                <w:rFonts w:hint="default" w:asciiTheme="minorAscii" w:hAnsiTheme="minorAscii" w:eastAsiaTheme="minorEastAsia" w:cstheme="minorEastAsia"/>
                <w:i w:val="0"/>
                <w:iCs w:val="0"/>
                <w:caps w:val="0"/>
                <w:color w:val="000000"/>
                <w:spacing w:val="0"/>
                <w:sz w:val="22"/>
                <w:szCs w:val="22"/>
              </w:rPr>
              <w:t>Further developments of the methodology and improvements in data availability may allow to expand this indicator to other vulnerable groups, such as women and children.</w:t>
            </w:r>
          </w:p>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812576"/>
            <w:bookmarkStart w:id="27" w:name="_Toc36812689"/>
            <w:bookmarkStart w:id="28" w:name="_Toc37932748"/>
            <w:bookmarkStart w:id="29" w:name="_Toc36655613"/>
            <w:r>
              <w:rPr>
                <w:sz w:val="32"/>
                <w:szCs w:val="32"/>
              </w:rPr>
              <w:t>5. Data availability and disaggregation</w:t>
            </w:r>
            <w:bookmarkEnd w:id="25"/>
            <w:bookmarkEnd w:id="26"/>
            <w:bookmarkEnd w:id="27"/>
            <w:bookmarkEnd w:id="28"/>
            <w:bookmarkEnd w:id="29"/>
          </w:p>
        </w:tc>
      </w:tr>
      <w:tr>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rPr>
                <w:rFonts w:hint="default"/>
                <w:lang w:val="en-US"/>
              </w:rPr>
            </w:pPr>
            <w:r>
              <w:rPr>
                <w:rFonts w:hint="default"/>
                <w:lang w:val="en-US"/>
              </w:rPr>
              <w:t>The data has no disaggregation</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r>
              <w:rPr>
                <w:rFonts w:hint="default" w:eastAsia="SimSun" w:cs="SimSun" w:asciiTheme="minorAscii" w:hAnsiTheme="minorAscii"/>
                <w:sz w:val="22"/>
                <w:szCs w:val="22"/>
              </w:rPr>
              <w:fldChar w:fldCharType="begin"/>
            </w:r>
            <w:r>
              <w:rPr>
                <w:rFonts w:hint="default" w:eastAsia="SimSun" w:cs="SimSun" w:asciiTheme="minorAscii" w:hAnsiTheme="minorAscii"/>
                <w:sz w:val="22"/>
                <w:szCs w:val="22"/>
              </w:rPr>
              <w:instrText xml:space="preserve"> HYPERLINK "https://unstats.un.org/sdgs/metadata/" </w:instrText>
            </w:r>
            <w:r>
              <w:rPr>
                <w:rFonts w:hint="default" w:eastAsia="SimSun" w:cs="SimSun" w:asciiTheme="minorAscii" w:hAnsiTheme="minorAscii"/>
                <w:sz w:val="22"/>
                <w:szCs w:val="22"/>
              </w:rPr>
              <w:fldChar w:fldCharType="separate"/>
            </w:r>
            <w:r>
              <w:rPr>
                <w:rStyle w:val="18"/>
                <w:rFonts w:hint="default" w:eastAsia="SimSun" w:cs="SimSun" w:asciiTheme="minorAscii" w:hAnsiTheme="minorAscii"/>
                <w:sz w:val="22"/>
                <w:szCs w:val="22"/>
              </w:rPr>
              <w:t>SDG Indicators — SDG Indicators (un.org)</w:t>
            </w:r>
            <w:r>
              <w:rPr>
                <w:rFonts w:hint="default" w:eastAsia="SimSun" w:cs="SimSun" w:asciiTheme="minorAscii" w:hAnsiTheme="minorAscii"/>
                <w:sz w:val="22"/>
                <w:szCs w:val="22"/>
              </w:rPr>
              <w:fldChar w:fldCharType="end"/>
            </w:r>
          </w:p>
        </w:tc>
      </w:tr>
      <w:permEnd w:id="46"/>
    </w:tbl>
    <w:p>
      <w:pPr>
        <w:pStyle w:val="2"/>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Microsoft YaHei"/>
    <w:panose1 w:val="00000000000000000000"/>
    <w:charset w:val="00"/>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Helvetica">
    <w:altName w:val="Arial"/>
    <w:panose1 w:val="00000000000000000000"/>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85"/>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0F52"/>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258F5"/>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061F"/>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D2AB8"/>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1BCB4CA8"/>
    <w:rsid w:val="47AA1D59"/>
    <w:rsid w:val="67140C07"/>
    <w:rsid w:val="78120DC4"/>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tblPr>
      <w:tblCellMar>
        <w:top w:w="0" w:type="dxa"/>
        <w:left w:w="108" w:type="dxa"/>
        <w:bottom w:w="0" w:type="dxa"/>
        <w:right w:w="108" w:type="dxa"/>
      </w:tblCellMar>
    </w:tblPr>
  </w:style>
  <w:style w:type="paragraph" w:styleId="6">
    <w:name w:val="Balloon Text"/>
    <w:basedOn w:val="1"/>
    <w:link w:val="45"/>
    <w:semiHidden/>
    <w:unhideWhenUsed/>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0" w:beforeAutospacing="1" w:after="0" w:afterAutospacing="1"/>
      <w:ind w:left="0" w:right="0"/>
      <w:jc w:val="left"/>
    </w:pPr>
    <w:rPr>
      <w:rFonts w:ascii="Times New Roman" w:hAnsi="Times New Roman" w:eastAsia="SimSun" w:cs="Times New Roman"/>
      <w:kern w:val="0"/>
      <w:sz w:val="24"/>
      <w:szCs w:val="24"/>
      <w:lang w:val="en-US" w:eastAsia="zh-CN" w:bidi="ar"/>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uiPriority w:val="9"/>
    <w:rPr>
      <w:rFonts w:asciiTheme="majorHAnsi" w:hAnsiTheme="majorHAnsi" w:eastAsiaTheme="majorEastAsia" w:cstheme="majorBidi"/>
      <w:color w:val="2E75B6" w:themeColor="accent1" w:themeShade="BF"/>
      <w:sz w:val="32"/>
      <w:szCs w:val="32"/>
    </w:rPr>
  </w:style>
  <w:style w:type="paragraph" w:customStyle="1" w:styleId="28">
    <w:name w:val="TOC Heading"/>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4">
    <w:name w:val="Unresolved Mention"/>
    <w:basedOn w:val="4"/>
    <w:semiHidden/>
    <w:unhideWhenUsed/>
    <w:qFormat/>
    <w:uiPriority w:val="99"/>
    <w:rPr>
      <w:color w:val="605E5C"/>
      <w:shd w:val="clear" w:color="auto" w:fill="E1DFDD"/>
    </w:rPr>
  </w:style>
  <w:style w:type="character" w:customStyle="1" w:styleId="55">
    <w:name w:val="hidden-sm"/>
    <w:basedOn w:val="4"/>
    <w:qFormat/>
    <w:uiPriority w:val="0"/>
  </w:style>
  <w:style w:type="paragraph" w:customStyle="1" w:styleId="56">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4.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2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Microsoft YaHei"/>
    <w:panose1 w:val="00000000000000000000"/>
    <w:charset w:val="86"/>
    <w:family w:val="auto"/>
    <w:pitch w:val="default"/>
    <w:sig w:usb0="00000000" w:usb1="00000000" w:usb2="00000000" w:usb3="00000000" w:csb0="00000000" w:csb1="00000000"/>
  </w:font>
  <w:font w:name="Microsoft YaHei">
    <w:panose1 w:val="020B0503020204020204"/>
    <w:charset w:val="86"/>
    <w:family w:val="auto"/>
    <w:pitch w:val="default"/>
    <w:sig w:usb0="80000287" w:usb1="2ACF3C50" w:usb2="00000016" w:usb3="00000000" w:csb0="0004001F" w:csb1="00000000"/>
  </w:font>
  <w:font w:name="等线">
    <w:altName w:val="Microsoft YaHei"/>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2A69BB"/>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57E59553-E217-482E-8EE7-C905E1600DAA}">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4712825F-F8FB-47DE-B6A1-8CCC6E07E218}">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215631</Words>
  <Characters>1229098</Characters>
  <Lines>10242</Lines>
  <Paragraphs>2883</Paragraphs>
  <TotalTime>2</TotalTime>
  <ScaleCrop>false</ScaleCrop>
  <LinksUpToDate>false</LinksUpToDate>
  <CharactersWithSpaces>1441846</CharactersWithSpaces>
  <Application>WPS Office_11.2.0.11341_F1E327BC-269C-435d-A152-05C5408002CA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2021-10-17T22:26:00Z</dcterms:created>
  <dc:creator>Fanning, Stephen B (JMD)</dc:creator>
  <cp:lastModifiedBy>origi</cp:lastModifiedBy>
  <cp:lastPrinted>2020-04-16T14:23:00Z</cp:lastPrinted>
  <dcterms:modified xsi:type="dcterms:W3CDTF">2022-10-15T17:46:50Z</dcterms:modified>
  <cp:revision>5</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1033-11.2.0.11341</vt:lpwstr>
  </property>
  <property fmtid="{D5CDD505-2E9C-101B-9397-08002B2CF9AE}" pid="4" name="ICV">
    <vt:lpwstr>3B0A6D0BEB77450CAD0BDD65426E5E32</vt:lpwstr>
  </property>
</Properties>
</file>