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6655608"/>
            <w:bookmarkStart w:id="4" w:name="_Toc37932743"/>
            <w:bookmarkStart w:id="5" w:name="_Toc36812684"/>
            <w:bookmarkStart w:id="6" w:name="_Toc36812571"/>
            <w:bookmarkStart w:id="7" w:name="_Toc36813071"/>
            <w:r>
              <w:rPr>
                <w:rFonts w:hint="default"/>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
      <w:tr>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0"/>
              <w:keepNext w:val="0"/>
              <w:keepLines w:val="0"/>
              <w:widowControl/>
              <w:suppressLineNumbers w:val="0"/>
              <w:spacing w:before="0" w:beforeAutospacing="0" w:afterAutospacing="0"/>
              <w:ind w:left="0" w:right="0"/>
              <w:rPr>
                <w:rFonts w:hint="default"/>
              </w:rPr>
            </w:pPr>
            <w:r>
              <w:rPr>
                <w:rFonts w:hint="default"/>
                <w:sz w:val="22"/>
                <w:szCs w:val="22"/>
              </w:rPr>
              <w:t>Goal: 14: Conserve and sustainably use the oceans, seas and marine resources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keepNext w:val="0"/>
              <w:keepLines w:val="0"/>
              <w:widowControl/>
              <w:suppressLineNumbers w:val="0"/>
              <w:spacing w:before="0" w:beforeAutospacing="0" w:afterAutospacing="0"/>
              <w:ind w:left="0" w:right="0"/>
              <w:rPr>
                <w:rFonts w:hint="default"/>
              </w:rPr>
            </w:pPr>
            <w:r>
              <w:rPr>
                <w:rFonts w:hint="default"/>
                <w:sz w:val="22"/>
                <w:szCs w:val="22"/>
              </w:rPr>
              <w:t>Target 14.1: By 2025, prevent and significantly reduce marine pollution of all kinds, in particular from land-based activities, including marine debris and nutrient pollution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0"/>
              <w:keepNext w:val="0"/>
              <w:keepLines w:val="0"/>
              <w:widowControl/>
              <w:suppressLineNumbers w:val="0"/>
              <w:spacing w:before="0" w:beforeAutospacing="0" w:afterAutospacing="0"/>
              <w:ind w:left="0" w:right="0"/>
              <w:rPr>
                <w:rFonts w:hint="default"/>
              </w:rPr>
            </w:pPr>
            <w:r>
              <w:rPr>
                <w:rFonts w:hint="default"/>
                <w:sz w:val="22"/>
                <w:szCs w:val="22"/>
              </w:rPr>
              <w:t>Indicator 14.1.1: (a) Index of coastal eutrophication; and (b) plastic debris density</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keepNext w:val="0"/>
              <w:keepLines w:val="0"/>
              <w:widowControl/>
              <w:suppressLineNumbers w:val="0"/>
              <w:spacing w:before="0" w:beforeAutospacing="0" w:afterAutospacing="0"/>
              <w:ind w:left="0" w:right="0"/>
              <w:rPr>
                <w:rFonts w:hint="default"/>
              </w:rPr>
            </w:pPr>
            <w:r>
              <w:rPr>
                <w:rFonts w:hint="default"/>
                <w:sz w:val="22"/>
                <w:szCs w:val="22"/>
              </w:rPr>
              <w:t>United Nations Environment Programme (UNEP)</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6655609"/>
            <w:bookmarkStart w:id="9" w:name="_Toc36812685"/>
            <w:bookmarkStart w:id="10" w:name="_Toc36813072"/>
            <w:bookmarkStart w:id="11" w:name="_Toc37932744"/>
            <w:bookmarkStart w:id="12" w:name="_Toc36812572"/>
            <w:r>
              <w:rPr>
                <w:rFonts w:hint="default"/>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Ocean Conservancy</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6812686"/>
            <w:bookmarkStart w:id="14" w:name="_Toc36812573"/>
            <w:bookmarkStart w:id="15" w:name="_Toc36655610"/>
            <w:bookmarkStart w:id="16" w:name="_Toc36813073"/>
            <w:bookmarkStart w:id="17" w:name="_Toc37932745"/>
            <w:r>
              <w:rPr>
                <w:rFonts w:hint="default"/>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hd w:val="clear" w:fill="FFFFFF"/>
              <w:spacing w:before="0" w:beforeAutospacing="0" w:after="0" w:afterAutospacing="0" w:line="276" w:lineRule="auto"/>
              <w:ind w:left="0" w:right="0"/>
              <w:jc w:val="left"/>
              <w:rPr>
                <w:rFonts w:hint="default"/>
                <w:b/>
                <w:bCs/>
                <w:color w:val="595959"/>
                <w:shd w:val="clear" w:fill="FFFFFF"/>
                <w:lang w:val="en-US"/>
              </w:rPr>
            </w:pPr>
            <w:r>
              <w:rPr>
                <w:rFonts w:hint="default" w:ascii="Calibri" w:hAnsi="Calibri" w:eastAsia="SimSun" w:cs="Arial"/>
                <w:b/>
                <w:bCs/>
                <w:color w:val="595959"/>
                <w:kern w:val="0"/>
                <w:sz w:val="22"/>
                <w:szCs w:val="22"/>
                <w:shd w:val="clear" w:fill="FFFFFF"/>
                <w:lang w:val="en-US" w:eastAsia="zh-CN" w:bidi="ar"/>
              </w:rPr>
              <w:t xml:space="preserve">Definition: </w:t>
            </w:r>
          </w:p>
          <w:p>
            <w:pPr>
              <w:keepNext w:val="0"/>
              <w:keepLines w:val="0"/>
              <w:widowControl/>
              <w:suppressLineNumbers w:val="0"/>
              <w:shd w:val="clear" w:fill="FFFFFF"/>
              <w:spacing w:before="0" w:beforeAutospacing="0" w:after="0" w:afterAutospacing="0" w:line="276" w:lineRule="auto"/>
              <w:ind w:left="0" w:right="0"/>
              <w:jc w:val="left"/>
              <w:rPr>
                <w:rFonts w:hint="default"/>
                <w:color w:val="595959"/>
                <w:shd w:val="clear" w:fill="FFFFFF"/>
                <w:lang w:val="en-US"/>
              </w:rPr>
            </w:pPr>
            <w:r>
              <w:rPr>
                <w:rFonts w:hint="default" w:ascii="Calibri" w:hAnsi="Calibri" w:eastAsia="SimSun" w:cs="Arial"/>
                <w:color w:val="595959"/>
                <w:kern w:val="0"/>
                <w:sz w:val="22"/>
                <w:szCs w:val="22"/>
                <w:shd w:val="clear" w:fill="FFFFFF"/>
                <w:lang w:val="en-US" w:eastAsia="zh-CN" w:bidi="ar"/>
              </w:rPr>
              <w:t xml:space="preserve">The indicator includes 14.1.1a Index of coastal eutrophication (ICEP) and 14.1.1b Plastic debris density. SDG 14.1.1a and SDG 14.1.1b are described as two indicators. Across the 14.1.1a and 14.1.1b, Three levels are proposed: </w:t>
            </w:r>
          </w:p>
          <w:p>
            <w:pPr>
              <w:keepNext w:val="0"/>
              <w:keepLines w:val="0"/>
              <w:widowControl/>
              <w:suppressLineNumbers w:val="0"/>
              <w:shd w:val="clear" w:fill="FFFFFF"/>
              <w:spacing w:before="0" w:beforeAutospacing="0" w:after="0" w:afterAutospacing="0" w:line="276" w:lineRule="auto"/>
              <w:ind w:left="0" w:right="0" w:firstLine="720"/>
              <w:jc w:val="left"/>
              <w:rPr>
                <w:rFonts w:hint="default"/>
                <w:color w:val="595959"/>
                <w:shd w:val="clear" w:fill="FFFFFF"/>
                <w:lang w:val="en-US"/>
              </w:rPr>
            </w:pPr>
            <w:r>
              <w:rPr>
                <w:rFonts w:hint="default" w:ascii="Calibri" w:hAnsi="Calibri" w:eastAsia="SimSun" w:cs="Arial"/>
                <w:color w:val="595959"/>
                <w:kern w:val="0"/>
                <w:sz w:val="22"/>
                <w:szCs w:val="22"/>
                <w:shd w:val="clear" w:fill="FFFFFF"/>
                <w:lang w:val="en-US" w:eastAsia="zh-CN" w:bidi="ar"/>
              </w:rPr>
              <w:t xml:space="preserve">Level 1: Globally available data from earth observations and modelling </w:t>
            </w:r>
          </w:p>
          <w:p>
            <w:pPr>
              <w:keepNext w:val="0"/>
              <w:keepLines w:val="0"/>
              <w:widowControl/>
              <w:suppressLineNumbers w:val="0"/>
              <w:shd w:val="clear" w:fill="FFFFFF"/>
              <w:spacing w:before="0" w:beforeAutospacing="0" w:after="0" w:afterAutospacing="0" w:line="276" w:lineRule="auto"/>
              <w:ind w:left="720" w:right="0"/>
              <w:jc w:val="left"/>
              <w:rPr>
                <w:rFonts w:hint="default"/>
                <w:color w:val="595959"/>
                <w:shd w:val="clear" w:fill="FFFFFF"/>
                <w:lang w:val="en-US"/>
              </w:rPr>
            </w:pPr>
            <w:r>
              <w:rPr>
                <w:rFonts w:hint="default" w:ascii="Calibri" w:hAnsi="Calibri" w:eastAsia="SimSun" w:cs="Arial"/>
                <w:color w:val="595959"/>
                <w:kern w:val="0"/>
                <w:sz w:val="22"/>
                <w:szCs w:val="22"/>
                <w:shd w:val="clear" w:fill="FFFFFF"/>
                <w:lang w:val="en-US" w:eastAsia="zh-CN" w:bidi="ar"/>
              </w:rPr>
              <w:t>Level 2: National data which will be collected from countries (through the relevant Regional Seas Programme, where applicable (i.e. for countries that are a member of a Regional Seas Programme)</w:t>
            </w:r>
          </w:p>
          <w:p>
            <w:pPr>
              <w:keepNext w:val="0"/>
              <w:keepLines w:val="0"/>
              <w:widowControl/>
              <w:suppressLineNumbers w:val="0"/>
              <w:shd w:val="clear" w:fill="FFFFFF"/>
              <w:spacing w:before="0" w:beforeAutospacing="0" w:after="0" w:afterAutospacing="0" w:line="276" w:lineRule="auto"/>
              <w:ind w:left="720" w:right="0"/>
              <w:jc w:val="left"/>
              <w:rPr>
                <w:rFonts w:hint="default"/>
                <w:color w:val="595959"/>
                <w:shd w:val="clear" w:fill="FFFFFF"/>
                <w:lang w:val="en-US"/>
              </w:rPr>
            </w:pPr>
            <w:r>
              <w:rPr>
                <w:rFonts w:hint="default" w:ascii="Calibri" w:hAnsi="Calibri" w:eastAsia="SimSun" w:cs="Arial"/>
                <w:color w:val="595959"/>
                <w:kern w:val="0"/>
                <w:sz w:val="22"/>
                <w:szCs w:val="22"/>
                <w:shd w:val="clear" w:fill="FFFFFF"/>
                <w:lang w:val="en-US" w:eastAsia="zh-CN" w:bidi="ar"/>
              </w:rPr>
              <w:t xml:space="preserve">Level 3: Additional indicators which are suggested that countries might consider collecting (these are not discussed in this document) </w:t>
            </w:r>
          </w:p>
          <w:p>
            <w:pPr>
              <w:keepNext w:val="0"/>
              <w:keepLines w:val="0"/>
              <w:widowControl/>
              <w:suppressLineNumbers w:val="0"/>
              <w:shd w:val="clear" w:fill="FFFFFF"/>
              <w:spacing w:before="0" w:beforeAutospacing="0" w:after="0" w:afterAutospacing="0" w:line="276" w:lineRule="auto"/>
              <w:ind w:left="0" w:right="0"/>
              <w:jc w:val="left"/>
              <w:rPr>
                <w:rFonts w:hint="default"/>
                <w:color w:val="595959"/>
                <w:shd w:val="clear" w:fill="FFFFFF"/>
                <w:lang w:val="en-US"/>
              </w:rPr>
            </w:pPr>
          </w:p>
          <w:p>
            <w:pPr>
              <w:keepNext w:val="0"/>
              <w:keepLines w:val="0"/>
              <w:widowControl/>
              <w:suppressLineNumbers w:val="0"/>
              <w:shd w:val="clear" w:fill="FFFFFF"/>
              <w:spacing w:before="0" w:beforeAutospacing="0" w:after="0" w:afterAutospacing="0" w:line="276" w:lineRule="auto"/>
              <w:ind w:left="0" w:right="0"/>
              <w:jc w:val="left"/>
              <w:rPr>
                <w:rFonts w:hint="default"/>
                <w:color w:val="595959"/>
                <w:shd w:val="clear" w:fill="FFFFFF"/>
                <w:lang w:val="en-US"/>
              </w:rPr>
            </w:pPr>
            <w:r>
              <w:rPr>
                <w:rFonts w:hint="default" w:ascii="Calibri" w:hAnsi="Calibri" w:eastAsia="SimSun" w:cs="Arial"/>
                <w:color w:val="595959"/>
                <w:kern w:val="0"/>
                <w:sz w:val="22"/>
                <w:szCs w:val="22"/>
                <w:shd w:val="clear" w:fill="FFFFFF"/>
                <w:lang w:val="en-US" w:eastAsia="zh-CN" w:bidi="ar"/>
              </w:rPr>
              <w:t>The below tables demonstrate the proposed parameters for SDG Target 14.1.1a and 14.1.1b.</w:t>
            </w:r>
          </w:p>
          <w:p>
            <w:pPr>
              <w:keepNext w:val="0"/>
              <w:keepLines w:val="0"/>
              <w:widowControl/>
              <w:suppressLineNumbers w:val="0"/>
              <w:shd w:val="clear" w:fill="FFFFFF"/>
              <w:spacing w:before="0" w:beforeAutospacing="0" w:after="0" w:afterAutospacing="0" w:line="276" w:lineRule="auto"/>
              <w:ind w:left="720" w:right="0"/>
              <w:jc w:val="left"/>
              <w:rPr>
                <w:rFonts w:hint="default"/>
                <w:shd w:val="clear" w:fill="FFFFFF"/>
                <w:lang w:val="en-US"/>
              </w:rPr>
            </w:pPr>
          </w:p>
          <w:p>
            <w:pPr>
              <w:keepNext/>
              <w:keepLines w:val="0"/>
              <w:widowControl/>
              <w:suppressLineNumbers w:val="0"/>
              <w:spacing w:before="0" w:beforeAutospacing="0" w:after="200" w:afterAutospacing="0" w:line="240" w:lineRule="auto"/>
              <w:ind w:left="0" w:right="0"/>
              <w:jc w:val="left"/>
              <w:rPr>
                <w:rFonts w:hint="default"/>
                <w:i/>
                <w:iCs/>
                <w:color w:val="1F497D"/>
                <w:sz w:val="18"/>
                <w:szCs w:val="18"/>
                <w:lang w:val="en-US"/>
              </w:rPr>
            </w:pPr>
            <w:r>
              <w:rPr>
                <w:rFonts w:hint="default" w:ascii="Calibri" w:hAnsi="Calibri" w:eastAsia="SimSun" w:cs="Arial"/>
                <w:i/>
                <w:iCs/>
                <w:color w:val="1F497D"/>
                <w:kern w:val="0"/>
                <w:sz w:val="18"/>
                <w:szCs w:val="18"/>
                <w:lang w:val="en-US" w:eastAsia="zh-CN" w:bidi="ar"/>
              </w:rPr>
              <w:t>Table 1: Monitoring parameters for eutrophication to track progress against SDG Indicator 14.1.1a.</w:t>
            </w:r>
          </w:p>
          <w:tbl>
            <w:tblPr>
              <w:tblStyle w:val="55"/>
              <w:tblW w:w="4508" w:type="dxa"/>
              <w:tblInd w:w="-113" w:type="dxa"/>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Layout w:type="fixed"/>
              <w:tblCellMar>
                <w:top w:w="0" w:type="dxa"/>
                <w:left w:w="108" w:type="dxa"/>
                <w:bottom w:w="0" w:type="dxa"/>
                <w:right w:w="108" w:type="dxa"/>
              </w:tblCellMar>
            </w:tblPr>
            <w:tblGrid>
              <w:gridCol w:w="2691"/>
              <w:gridCol w:w="411"/>
              <w:gridCol w:w="405"/>
              <w:gridCol w:w="405"/>
              <w:gridCol w:w="595"/>
            </w:tblGrid>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83" w:type="dxa"/>
                  <w:tcBorders>
                    <w:top w:val="single" w:color="FFFFFF" w:sz="4" w:space="0"/>
                    <w:left w:val="single" w:color="FFFFFF" w:sz="4" w:space="0"/>
                    <w:bottom w:val="single" w:color="FFFFFF" w:sz="4" w:space="0"/>
                    <w:right w:val="nil"/>
                  </w:tcBorders>
                  <w:shd w:val="clear" w:color="auto" w:fill="9BBB59"/>
                  <w:vAlign w:val="center"/>
                </w:tcPr>
                <w:p>
                  <w:pPr>
                    <w:keepNext w:val="0"/>
                    <w:keepLines w:val="0"/>
                    <w:widowControl/>
                    <w:suppressLineNumbers w:val="0"/>
                    <w:spacing w:before="0" w:beforeAutospacing="0" w:after="0" w:afterAutospacing="0" w:line="240" w:lineRule="auto"/>
                    <w:ind w:left="0" w:right="0"/>
                    <w:jc w:val="left"/>
                    <w:rPr>
                      <w:rFonts w:hint="default" w:eastAsia="Calibri"/>
                      <w:b/>
                      <w:bCs/>
                      <w:color w:val="auto"/>
                      <w:sz w:val="20"/>
                      <w:szCs w:val="22"/>
                      <w:highlight w:val="black"/>
                      <w:lang w:val="fr" w:eastAsia="en-US"/>
                    </w:rPr>
                  </w:pPr>
                  <w:r>
                    <w:rPr>
                      <w:rFonts w:hint="default" w:ascii="Calibri" w:hAnsi="Calibri" w:eastAsia="Calibri" w:cs="Arial"/>
                      <w:b/>
                      <w:bCs/>
                      <w:color w:val="auto"/>
                      <w:kern w:val="0"/>
                      <w:sz w:val="20"/>
                      <w:szCs w:val="22"/>
                      <w:highlight w:val="black"/>
                      <w:lang w:val="fr" w:eastAsia="en-US" w:bidi="ar"/>
                    </w:rPr>
                    <w:t>Monitoring parameters</w:t>
                  </w:r>
                </w:p>
              </w:tc>
              <w:tc>
                <w:tcPr>
                  <w:tcW w:w="822" w:type="dxa"/>
                  <w:tcBorders>
                    <w:top w:val="single" w:color="FFFFFF" w:sz="4" w:space="0"/>
                    <w:left w:val="nil"/>
                    <w:bottom w:val="single" w:color="FFFFFF" w:sz="4" w:space="0"/>
                    <w:right w:val="nil"/>
                  </w:tcBorders>
                  <w:shd w:val="clear" w:color="auto" w:fill="9BBB59"/>
                  <w:vAlign w:val="center"/>
                </w:tcPr>
                <w:p>
                  <w:pPr>
                    <w:keepNext w:val="0"/>
                    <w:keepLines w:val="0"/>
                    <w:widowControl/>
                    <w:suppressLineNumbers w:val="0"/>
                    <w:spacing w:before="0" w:beforeAutospacing="0" w:after="0" w:afterAutospacing="0" w:line="240" w:lineRule="auto"/>
                    <w:ind w:left="0" w:right="0"/>
                    <w:jc w:val="left"/>
                    <w:rPr>
                      <w:rFonts w:hint="default" w:eastAsia="Calibri"/>
                      <w:b/>
                      <w:bCs/>
                      <w:color w:val="auto"/>
                      <w:sz w:val="20"/>
                      <w:szCs w:val="22"/>
                      <w:highlight w:val="black"/>
                      <w:lang w:val="fr" w:eastAsia="en-US"/>
                    </w:rPr>
                  </w:pPr>
                  <w:r>
                    <w:rPr>
                      <w:rFonts w:hint="default" w:ascii="Calibri" w:hAnsi="Calibri" w:eastAsia="Calibri" w:cs="Arial"/>
                      <w:b/>
                      <w:bCs/>
                      <w:color w:val="auto"/>
                      <w:kern w:val="0"/>
                      <w:sz w:val="20"/>
                      <w:szCs w:val="22"/>
                      <w:highlight w:val="black"/>
                      <w:lang w:val="fr" w:eastAsia="en-US" w:bidi="ar"/>
                    </w:rPr>
                    <w:t>Level 1</w:t>
                  </w:r>
                </w:p>
              </w:tc>
              <w:tc>
                <w:tcPr>
                  <w:tcW w:w="810" w:type="dxa"/>
                  <w:tcBorders>
                    <w:top w:val="single" w:color="FFFFFF" w:sz="4" w:space="0"/>
                    <w:left w:val="nil"/>
                    <w:bottom w:val="single" w:color="FFFFFF" w:sz="4" w:space="0"/>
                    <w:right w:val="nil"/>
                  </w:tcBorders>
                  <w:shd w:val="clear" w:color="auto" w:fill="9BBB59"/>
                  <w:vAlign w:val="center"/>
                </w:tcPr>
                <w:p>
                  <w:pPr>
                    <w:keepNext w:val="0"/>
                    <w:keepLines w:val="0"/>
                    <w:widowControl/>
                    <w:suppressLineNumbers w:val="0"/>
                    <w:spacing w:before="0" w:beforeAutospacing="0" w:after="0" w:afterAutospacing="0" w:line="240" w:lineRule="auto"/>
                    <w:ind w:left="0" w:right="0"/>
                    <w:jc w:val="left"/>
                    <w:rPr>
                      <w:rFonts w:hint="default" w:eastAsia="Calibri"/>
                      <w:b/>
                      <w:bCs/>
                      <w:color w:val="auto"/>
                      <w:sz w:val="20"/>
                      <w:szCs w:val="22"/>
                      <w:highlight w:val="black"/>
                      <w:lang w:val="fr" w:eastAsia="en-US"/>
                    </w:rPr>
                  </w:pPr>
                  <w:r>
                    <w:rPr>
                      <w:rFonts w:hint="default" w:ascii="Calibri" w:hAnsi="Calibri" w:eastAsia="Calibri" w:cs="Arial"/>
                      <w:b/>
                      <w:bCs/>
                      <w:color w:val="auto"/>
                      <w:kern w:val="0"/>
                      <w:sz w:val="20"/>
                      <w:szCs w:val="22"/>
                      <w:highlight w:val="black"/>
                      <w:lang w:val="fr" w:eastAsia="en-US" w:bidi="ar"/>
                    </w:rPr>
                    <w:t>Level 2</w:t>
                  </w:r>
                </w:p>
              </w:tc>
              <w:tc>
                <w:tcPr>
                  <w:tcW w:w="810" w:type="dxa"/>
                  <w:tcBorders>
                    <w:top w:val="single" w:color="FFFFFF" w:sz="4" w:space="0"/>
                    <w:left w:val="nil"/>
                    <w:bottom w:val="single" w:color="FFFFFF" w:sz="4" w:space="0"/>
                    <w:right w:val="nil"/>
                  </w:tcBorders>
                  <w:shd w:val="clear" w:color="auto" w:fill="9BBB59"/>
                  <w:vAlign w:val="center"/>
                </w:tcPr>
                <w:p>
                  <w:pPr>
                    <w:keepNext w:val="0"/>
                    <w:keepLines w:val="0"/>
                    <w:widowControl/>
                    <w:suppressLineNumbers w:val="0"/>
                    <w:spacing w:before="0" w:beforeAutospacing="0" w:after="0" w:afterAutospacing="0" w:line="240" w:lineRule="auto"/>
                    <w:ind w:left="0" w:right="0"/>
                    <w:jc w:val="left"/>
                    <w:rPr>
                      <w:rFonts w:hint="default" w:eastAsia="Calibri"/>
                      <w:b/>
                      <w:bCs/>
                      <w:color w:val="auto"/>
                      <w:sz w:val="20"/>
                      <w:szCs w:val="22"/>
                      <w:highlight w:val="black"/>
                      <w:lang w:val="fr" w:eastAsia="en-US"/>
                    </w:rPr>
                  </w:pPr>
                  <w:r>
                    <w:rPr>
                      <w:rFonts w:hint="default" w:ascii="Calibri" w:hAnsi="Calibri" w:eastAsia="Calibri" w:cs="Arial"/>
                      <w:b/>
                      <w:bCs/>
                      <w:color w:val="auto"/>
                      <w:kern w:val="0"/>
                      <w:sz w:val="20"/>
                      <w:szCs w:val="22"/>
                      <w:highlight w:val="black"/>
                      <w:lang w:val="fr" w:eastAsia="en-US" w:bidi="ar"/>
                    </w:rPr>
                    <w:t>Level 3</w:t>
                  </w:r>
                </w:p>
              </w:tc>
              <w:tc>
                <w:tcPr>
                  <w:tcW w:w="1191" w:type="dxa"/>
                  <w:tcBorders>
                    <w:top w:val="single" w:color="FFFFFF" w:sz="4" w:space="0"/>
                    <w:left w:val="nil"/>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0" w:afterAutospacing="0" w:line="240" w:lineRule="auto"/>
                    <w:ind w:left="0" w:right="0"/>
                    <w:jc w:val="left"/>
                    <w:rPr>
                      <w:rFonts w:hint="default" w:eastAsia="Calibri"/>
                      <w:b/>
                      <w:bCs/>
                      <w:color w:val="auto"/>
                      <w:sz w:val="20"/>
                      <w:szCs w:val="22"/>
                      <w:highlight w:val="black"/>
                      <w:lang w:val="fr" w:eastAsia="en-US"/>
                    </w:rPr>
                  </w:pPr>
                  <w:r>
                    <w:rPr>
                      <w:rFonts w:hint="default" w:ascii="Calibri" w:hAnsi="Calibri" w:eastAsia="Calibri" w:cs="Arial"/>
                      <w:b/>
                      <w:bCs/>
                      <w:color w:val="auto"/>
                      <w:kern w:val="0"/>
                      <w:sz w:val="20"/>
                      <w:szCs w:val="22"/>
                      <w:highlight w:val="black"/>
                      <w:lang w:val="fr" w:eastAsia="en-US" w:bidi="ar"/>
                    </w:rPr>
                    <w:t>Reporting Frequency</w:t>
                  </w: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83"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Cs/>
                      <w:color w:val="auto"/>
                      <w:sz w:val="20"/>
                      <w:szCs w:val="22"/>
                      <w:lang w:val="en-US" w:eastAsia="en-US"/>
                    </w:rPr>
                  </w:pPr>
                  <w:r>
                    <w:rPr>
                      <w:rFonts w:hint="default" w:ascii="Calibri" w:hAnsi="Calibri" w:eastAsia="Calibri" w:cs="Arial"/>
                      <w:b/>
                      <w:bCs/>
                      <w:color w:val="auto"/>
                      <w:kern w:val="0"/>
                      <w:sz w:val="20"/>
                      <w:szCs w:val="22"/>
                      <w:lang w:val="en-US" w:eastAsia="en-US" w:bidi="ar"/>
                    </w:rPr>
                    <w:t>Indicator for Coastal Eutrophication Potential (N and P loading)</w:t>
                  </w:r>
                </w:p>
              </w:tc>
              <w:tc>
                <w:tcPr>
                  <w:tcW w:w="822"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1191"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Five years</w:t>
                  </w: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83"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
                      <w:bCs w:val="0"/>
                      <w:color w:val="auto"/>
                      <w:sz w:val="20"/>
                      <w:szCs w:val="22"/>
                      <w:lang w:val="fr" w:eastAsia="en-US"/>
                    </w:rPr>
                  </w:pPr>
                  <w:r>
                    <w:rPr>
                      <w:rFonts w:hint="default" w:ascii="Calibri" w:hAnsi="Calibri" w:eastAsia="Calibri" w:cs="Arial"/>
                      <w:b/>
                      <w:bCs/>
                      <w:color w:val="auto"/>
                      <w:kern w:val="0"/>
                      <w:sz w:val="20"/>
                      <w:szCs w:val="22"/>
                      <w:lang w:val="fr" w:eastAsia="en-US" w:bidi="ar"/>
                    </w:rPr>
                    <w:t>Chlorophyll-a deviations (remote sensing)</w:t>
                  </w:r>
                </w:p>
              </w:tc>
              <w:tc>
                <w:tcPr>
                  <w:tcW w:w="822"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1191"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 xml:space="preserve">Annual </w:t>
                  </w: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83"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Cs/>
                      <w:color w:val="auto"/>
                      <w:sz w:val="20"/>
                      <w:szCs w:val="22"/>
                      <w:lang w:val="en-US" w:eastAsia="en-US"/>
                    </w:rPr>
                  </w:pPr>
                  <w:r>
                    <w:rPr>
                      <w:rFonts w:hint="default" w:ascii="Calibri" w:hAnsi="Calibri" w:eastAsia="Calibri" w:cs="Arial"/>
                      <w:b/>
                      <w:bCs/>
                      <w:color w:val="auto"/>
                      <w:kern w:val="0"/>
                      <w:sz w:val="20"/>
                      <w:szCs w:val="22"/>
                      <w:lang w:val="en-US" w:eastAsia="en-US" w:bidi="ar"/>
                    </w:rPr>
                    <w:t>Chlorophyll-a concentration (</w:t>
                  </w:r>
                  <w:r>
                    <w:rPr>
                      <w:rFonts w:hint="default" w:ascii="Calibri" w:hAnsi="Calibri" w:eastAsia="Calibri" w:cs="Arial"/>
                      <w:b/>
                      <w:bCs/>
                      <w:i/>
                      <w:iCs w:val="0"/>
                      <w:color w:val="auto"/>
                      <w:kern w:val="0"/>
                      <w:sz w:val="20"/>
                      <w:szCs w:val="22"/>
                      <w:lang w:val="en-US" w:eastAsia="en-US" w:bidi="ar"/>
                    </w:rPr>
                    <w:t>remote sensing and in situ</w:t>
                  </w:r>
                  <w:r>
                    <w:rPr>
                      <w:rFonts w:hint="default" w:ascii="Calibri" w:hAnsi="Calibri" w:eastAsia="Calibri" w:cs="Arial"/>
                      <w:b/>
                      <w:bCs/>
                      <w:color w:val="auto"/>
                      <w:kern w:val="0"/>
                      <w:sz w:val="20"/>
                      <w:szCs w:val="22"/>
                      <w:lang w:val="en-US" w:eastAsia="en-US" w:bidi="ar"/>
                    </w:rPr>
                    <w:t>)</w:t>
                  </w:r>
                </w:p>
              </w:tc>
              <w:tc>
                <w:tcPr>
                  <w:tcW w:w="822"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1191" w:type="dxa"/>
                  <w:vMerge w:val="restart"/>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r>
                    <w:rPr>
                      <w:rFonts w:hint="default" w:ascii="Calibri" w:hAnsi="Calibri" w:eastAsia="Calibri" w:cs="Arial"/>
                      <w:color w:val="auto"/>
                      <w:kern w:val="0"/>
                      <w:sz w:val="20"/>
                      <w:szCs w:val="22"/>
                      <w:lang w:val="en-US" w:eastAsia="en-US" w:bidi="ar"/>
                    </w:rPr>
                    <w:t>4 years (aligned with Regional Seas)</w:t>
                  </w: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83"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Cs/>
                      <w:color w:val="auto"/>
                      <w:sz w:val="20"/>
                      <w:szCs w:val="22"/>
                      <w:lang w:val="en-US" w:eastAsia="en-US"/>
                    </w:rPr>
                  </w:pPr>
                  <w:r>
                    <w:rPr>
                      <w:rFonts w:hint="default" w:ascii="Calibri" w:hAnsi="Calibri" w:eastAsia="Calibri" w:cs="Arial"/>
                      <w:b/>
                      <w:bCs/>
                      <w:color w:val="auto"/>
                      <w:kern w:val="0"/>
                      <w:sz w:val="20"/>
                      <w:szCs w:val="22"/>
                      <w:lang w:val="en-US" w:eastAsia="en-US" w:bidi="ar"/>
                    </w:rPr>
                    <w:t xml:space="preserve">National modelling of indicator for Coastal Eutrophication Potential (ICEP) </w:t>
                  </w:r>
                </w:p>
              </w:tc>
              <w:tc>
                <w:tcPr>
                  <w:tcW w:w="822"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1191" w:type="dxa"/>
                  <w:vMerge w:val="continue"/>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Autospacing="0"/>
                    <w:ind w:left="0" w:right="0"/>
                    <w:rPr>
                      <w:rFonts w:hint="default" w:ascii="Calibri" w:hAnsi="Calibri" w:eastAsia="Calibri" w:cs="Arial"/>
                      <w:color w:val="auto"/>
                      <w:sz w:val="22"/>
                      <w:szCs w:val="22"/>
                      <w:lang w:val="fr"/>
                    </w:rPr>
                  </w:pP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83"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Cs/>
                      <w:color w:val="auto"/>
                      <w:sz w:val="20"/>
                      <w:szCs w:val="22"/>
                      <w:lang w:val="en-US" w:eastAsia="en-US"/>
                    </w:rPr>
                  </w:pPr>
                  <w:r>
                    <w:rPr>
                      <w:rFonts w:hint="default" w:ascii="Calibri" w:hAnsi="Calibri" w:eastAsia="Calibri" w:cs="Arial"/>
                      <w:b/>
                      <w:bCs/>
                      <w:color w:val="auto"/>
                      <w:kern w:val="0"/>
                      <w:sz w:val="20"/>
                      <w:szCs w:val="22"/>
                      <w:lang w:val="en-US" w:eastAsia="en-US" w:bidi="ar"/>
                    </w:rPr>
                    <w:t xml:space="preserve">Total Nitrogen of DIN (dissolved inorganic nitrogen) </w:t>
                  </w:r>
                </w:p>
              </w:tc>
              <w:tc>
                <w:tcPr>
                  <w:tcW w:w="822"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1191" w:type="dxa"/>
                  <w:vMerge w:val="continue"/>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Autospacing="0"/>
                    <w:ind w:left="0" w:right="0"/>
                    <w:rPr>
                      <w:rFonts w:hint="default" w:ascii="Calibri" w:hAnsi="Calibri" w:eastAsia="Calibri" w:cs="Arial"/>
                      <w:color w:val="auto"/>
                      <w:sz w:val="22"/>
                      <w:szCs w:val="22"/>
                      <w:lang w:val="fr"/>
                    </w:rPr>
                  </w:pP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83"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Cs/>
                      <w:color w:val="auto"/>
                      <w:sz w:val="20"/>
                      <w:szCs w:val="22"/>
                      <w:lang w:val="en-US" w:eastAsia="en-US"/>
                    </w:rPr>
                  </w:pPr>
                  <w:r>
                    <w:rPr>
                      <w:rFonts w:hint="default" w:ascii="Calibri" w:hAnsi="Calibri" w:eastAsia="Calibri" w:cs="Arial"/>
                      <w:b/>
                      <w:bCs/>
                      <w:color w:val="auto"/>
                      <w:kern w:val="0"/>
                      <w:sz w:val="20"/>
                      <w:szCs w:val="22"/>
                      <w:lang w:val="en-US" w:eastAsia="en-US" w:bidi="ar"/>
                    </w:rPr>
                    <w:t xml:space="preserve">Total Phosphorus or DIP (dissolved inorganic phosphorus) </w:t>
                  </w:r>
                </w:p>
              </w:tc>
              <w:tc>
                <w:tcPr>
                  <w:tcW w:w="822"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1191" w:type="dxa"/>
                  <w:vMerge w:val="continue"/>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Autospacing="0"/>
                    <w:ind w:left="0" w:right="0"/>
                    <w:rPr>
                      <w:rFonts w:hint="default" w:ascii="Calibri" w:hAnsi="Calibri" w:eastAsia="Calibri" w:cs="Arial"/>
                      <w:color w:val="auto"/>
                      <w:sz w:val="22"/>
                      <w:szCs w:val="22"/>
                      <w:lang w:val="fr"/>
                    </w:rPr>
                  </w:pP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83"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
                      <w:bCs w:val="0"/>
                      <w:color w:val="auto"/>
                      <w:sz w:val="20"/>
                      <w:szCs w:val="22"/>
                      <w:lang w:val="fr" w:eastAsia="en-US"/>
                    </w:rPr>
                  </w:pPr>
                  <w:r>
                    <w:rPr>
                      <w:rFonts w:hint="default" w:ascii="Calibri" w:hAnsi="Calibri" w:eastAsia="Calibri" w:cs="Arial"/>
                      <w:b/>
                      <w:bCs/>
                      <w:color w:val="auto"/>
                      <w:kern w:val="0"/>
                      <w:sz w:val="20"/>
                      <w:szCs w:val="22"/>
                      <w:lang w:val="fr" w:eastAsia="en-US" w:bidi="ar"/>
                    </w:rPr>
                    <w:t xml:space="preserve">Total silica </w:t>
                  </w:r>
                </w:p>
              </w:tc>
              <w:tc>
                <w:tcPr>
                  <w:tcW w:w="822"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1191" w:type="dxa"/>
                  <w:vMerge w:val="continue"/>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Autospacing="0"/>
                    <w:ind w:left="0" w:right="0"/>
                    <w:rPr>
                      <w:rFonts w:hint="default" w:ascii="Calibri" w:hAnsi="Calibri" w:eastAsia="Calibri" w:cs="Arial"/>
                      <w:color w:val="auto"/>
                      <w:sz w:val="22"/>
                      <w:szCs w:val="22"/>
                      <w:lang w:val="fr"/>
                    </w:rPr>
                  </w:pP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83"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
                      <w:bCs w:val="0"/>
                      <w:color w:val="auto"/>
                      <w:sz w:val="20"/>
                      <w:szCs w:val="22"/>
                      <w:lang w:val="fr" w:eastAsia="en-US"/>
                    </w:rPr>
                  </w:pPr>
                  <w:r>
                    <w:rPr>
                      <w:rFonts w:hint="default" w:ascii="Calibri" w:hAnsi="Calibri" w:eastAsia="Calibri" w:cs="Arial"/>
                      <w:b/>
                      <w:bCs/>
                      <w:color w:val="auto"/>
                      <w:kern w:val="0"/>
                      <w:sz w:val="20"/>
                      <w:szCs w:val="22"/>
                      <w:lang w:val="fr" w:eastAsia="en-US" w:bidi="ar"/>
                    </w:rPr>
                    <w:t xml:space="preserve">Dissolved oxygen </w:t>
                  </w:r>
                </w:p>
              </w:tc>
              <w:tc>
                <w:tcPr>
                  <w:tcW w:w="822"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1191"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NA</w:t>
                  </w: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83"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Cs/>
                      <w:color w:val="auto"/>
                      <w:sz w:val="20"/>
                      <w:szCs w:val="22"/>
                      <w:lang w:val="en-US" w:eastAsia="en-US"/>
                    </w:rPr>
                  </w:pPr>
                  <w:r>
                    <w:rPr>
                      <w:rFonts w:hint="default" w:ascii="Calibri" w:hAnsi="Calibri" w:eastAsia="Calibri" w:cs="Arial"/>
                      <w:b/>
                      <w:bCs/>
                      <w:color w:val="auto"/>
                      <w:kern w:val="0"/>
                      <w:sz w:val="20"/>
                      <w:szCs w:val="22"/>
                      <w:lang w:val="en-US" w:eastAsia="en-US" w:bidi="ar"/>
                    </w:rPr>
                    <w:t>Biological/chemical oxygen demand (BOD/COD)</w:t>
                  </w:r>
                </w:p>
              </w:tc>
              <w:tc>
                <w:tcPr>
                  <w:tcW w:w="822"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1191"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NA</w:t>
                  </w: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83"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
                      <w:bCs w:val="0"/>
                      <w:color w:val="auto"/>
                      <w:sz w:val="20"/>
                      <w:szCs w:val="22"/>
                      <w:lang w:val="fr" w:eastAsia="en-US"/>
                    </w:rPr>
                  </w:pPr>
                  <w:r>
                    <w:rPr>
                      <w:rFonts w:hint="default" w:ascii="Calibri" w:hAnsi="Calibri" w:eastAsia="Calibri" w:cs="Arial"/>
                      <w:b/>
                      <w:bCs/>
                      <w:color w:val="auto"/>
                      <w:kern w:val="0"/>
                      <w:sz w:val="20"/>
                      <w:szCs w:val="22"/>
                      <w:lang w:val="fr" w:eastAsia="en-US" w:bidi="ar"/>
                    </w:rPr>
                    <w:t>Total organic carbon (TOC)</w:t>
                  </w:r>
                </w:p>
              </w:tc>
              <w:tc>
                <w:tcPr>
                  <w:tcW w:w="822"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1191"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NA</w:t>
                  </w: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83"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
                      <w:bCs w:val="0"/>
                      <w:color w:val="auto"/>
                      <w:sz w:val="20"/>
                      <w:szCs w:val="22"/>
                      <w:lang w:val="fr" w:eastAsia="en-US"/>
                    </w:rPr>
                  </w:pPr>
                  <w:r>
                    <w:rPr>
                      <w:rFonts w:hint="default" w:ascii="Calibri" w:hAnsi="Calibri" w:eastAsia="Calibri" w:cs="Arial"/>
                      <w:b/>
                      <w:bCs/>
                      <w:color w:val="auto"/>
                      <w:kern w:val="0"/>
                      <w:sz w:val="20"/>
                      <w:szCs w:val="22"/>
                      <w:lang w:val="fr" w:eastAsia="en-US" w:bidi="ar"/>
                    </w:rPr>
                    <w:t>Turbidity (remote sensing)</w:t>
                  </w:r>
                </w:p>
              </w:tc>
              <w:tc>
                <w:tcPr>
                  <w:tcW w:w="822"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1191"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NA</w:t>
                  </w: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tblCellMar>
                  <w:top w:w="0" w:type="dxa"/>
                  <w:left w:w="108" w:type="dxa"/>
                  <w:bottom w:w="0" w:type="dxa"/>
                  <w:right w:w="108" w:type="dxa"/>
                </w:tblCellMar>
              </w:tblPrEx>
              <w:tc>
                <w:tcPr>
                  <w:tcW w:w="5383"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
                      <w:bCs w:val="0"/>
                      <w:color w:val="auto"/>
                      <w:sz w:val="20"/>
                      <w:szCs w:val="22"/>
                      <w:lang w:val="fr" w:eastAsia="en-US"/>
                    </w:rPr>
                  </w:pPr>
                  <w:r>
                    <w:rPr>
                      <w:rFonts w:hint="default" w:ascii="Calibri" w:hAnsi="Calibri" w:eastAsia="Calibri" w:cs="Arial"/>
                      <w:b/>
                      <w:bCs/>
                      <w:color w:val="auto"/>
                      <w:kern w:val="0"/>
                      <w:sz w:val="20"/>
                      <w:szCs w:val="22"/>
                      <w:lang w:val="fr" w:eastAsia="en-US" w:bidi="ar"/>
                    </w:rPr>
                    <w:t>River parameters from SDG 6.3.2</w:t>
                  </w:r>
                </w:p>
              </w:tc>
              <w:tc>
                <w:tcPr>
                  <w:tcW w:w="822"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1191"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NA</w:t>
                  </w: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tblCellMar>
                  <w:top w:w="0" w:type="dxa"/>
                  <w:left w:w="108" w:type="dxa"/>
                  <w:bottom w:w="0" w:type="dxa"/>
                  <w:right w:w="108" w:type="dxa"/>
                </w:tblCellMar>
              </w:tblPrEx>
              <w:tc>
                <w:tcPr>
                  <w:tcW w:w="5383"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Cs/>
                      <w:color w:val="auto"/>
                      <w:sz w:val="20"/>
                      <w:szCs w:val="22"/>
                      <w:lang w:val="en-US" w:eastAsia="en-US"/>
                    </w:rPr>
                  </w:pPr>
                  <w:r>
                    <w:rPr>
                      <w:rFonts w:hint="default" w:ascii="Calibri" w:hAnsi="Calibri" w:eastAsia="Calibri" w:cs="Arial"/>
                      <w:b/>
                      <w:bCs/>
                      <w:color w:val="auto"/>
                      <w:kern w:val="0"/>
                      <w:sz w:val="20"/>
                      <w:szCs w:val="22"/>
                      <w:lang w:val="en-US" w:eastAsia="en-US" w:bidi="ar"/>
                    </w:rPr>
                    <w:t>Other water parameters (O</w:t>
                  </w:r>
                  <w:r>
                    <w:rPr>
                      <w:rFonts w:hint="default" w:ascii="Calibri" w:hAnsi="Calibri" w:eastAsia="Calibri" w:cs="Arial"/>
                      <w:b/>
                      <w:bCs/>
                      <w:color w:val="auto"/>
                      <w:kern w:val="0"/>
                      <w:sz w:val="20"/>
                      <w:szCs w:val="22"/>
                      <w:vertAlign w:val="subscript"/>
                      <w:lang w:val="en-US" w:eastAsia="en-US" w:bidi="ar"/>
                    </w:rPr>
                    <w:t>2</w:t>
                  </w:r>
                  <w:r>
                    <w:rPr>
                      <w:rFonts w:hint="default" w:ascii="Calibri" w:hAnsi="Calibri" w:eastAsia="Calibri" w:cs="Arial"/>
                      <w:b/>
                      <w:bCs/>
                      <w:color w:val="auto"/>
                      <w:kern w:val="0"/>
                      <w:sz w:val="20"/>
                      <w:szCs w:val="22"/>
                      <w:lang w:val="en-US" w:eastAsia="en-US" w:bidi="ar"/>
                    </w:rPr>
                    <w:t xml:space="preserve"> % saturation, Secchi depth, river discharge, salinity, temperature, pH, alkalinity, organic carbon, toxic metals, persistent organic pollutants)</w:t>
                  </w:r>
                </w:p>
              </w:tc>
              <w:tc>
                <w:tcPr>
                  <w:tcW w:w="822"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1191"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NA</w:t>
                  </w: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tblCellMar>
                  <w:top w:w="0" w:type="dxa"/>
                  <w:left w:w="108" w:type="dxa"/>
                  <w:bottom w:w="0" w:type="dxa"/>
                  <w:right w:w="108" w:type="dxa"/>
                </w:tblCellMar>
              </w:tblPrEx>
              <w:tc>
                <w:tcPr>
                  <w:tcW w:w="5383"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Cs/>
                      <w:color w:val="auto"/>
                      <w:sz w:val="20"/>
                      <w:szCs w:val="22"/>
                      <w:lang w:val="en-US" w:eastAsia="en-US"/>
                    </w:rPr>
                  </w:pPr>
                  <w:r>
                    <w:rPr>
                      <w:rFonts w:hint="default" w:ascii="Calibri" w:hAnsi="Calibri" w:eastAsia="Calibri" w:cs="Arial"/>
                      <w:b/>
                      <w:bCs/>
                      <w:color w:val="auto"/>
                      <w:kern w:val="0"/>
                      <w:sz w:val="20"/>
                      <w:szCs w:val="22"/>
                      <w:lang w:val="en-US" w:eastAsia="en-US" w:bidi="ar"/>
                    </w:rPr>
                    <w:t>Microalgal growth, harmful algal blooms, submerged aquatic vegetation coverage, biodiversity and hypoxia</w:t>
                  </w:r>
                </w:p>
              </w:tc>
              <w:tc>
                <w:tcPr>
                  <w:tcW w:w="822"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1191"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NA</w:t>
                  </w:r>
                </w:p>
              </w:tc>
            </w:tr>
          </w:tbl>
          <w:p>
            <w:pPr>
              <w:keepNext w:val="0"/>
              <w:keepLines w:val="0"/>
              <w:widowControl/>
              <w:suppressLineNumbers w:val="0"/>
              <w:shd w:val="clear" w:fill="FFFFFF"/>
              <w:spacing w:before="0" w:beforeAutospacing="0" w:after="0" w:afterAutospacing="0" w:line="276" w:lineRule="auto"/>
              <w:ind w:left="0" w:right="0"/>
              <w:jc w:val="left"/>
              <w:rPr>
                <w:rFonts w:hint="default"/>
                <w:color w:val="auto"/>
                <w:shd w:val="clear" w:fill="FFFFFF"/>
                <w:lang w:val="en-US"/>
              </w:rPr>
            </w:pPr>
          </w:p>
          <w:p>
            <w:pPr>
              <w:keepNext/>
              <w:keepLines w:val="0"/>
              <w:widowControl/>
              <w:suppressLineNumbers w:val="0"/>
              <w:spacing w:before="0" w:beforeAutospacing="0" w:after="200" w:afterAutospacing="0" w:line="240" w:lineRule="auto"/>
              <w:ind w:left="0" w:right="0"/>
              <w:jc w:val="left"/>
              <w:rPr>
                <w:rFonts w:hint="default"/>
                <w:i/>
                <w:iCs/>
                <w:color w:val="auto"/>
                <w:sz w:val="18"/>
                <w:szCs w:val="18"/>
                <w:lang w:val="en-US"/>
              </w:rPr>
            </w:pPr>
            <w:r>
              <w:rPr>
                <w:rFonts w:hint="default" w:ascii="Calibri" w:hAnsi="Calibri" w:eastAsia="SimSun" w:cs="Arial"/>
                <w:i/>
                <w:iCs/>
                <w:color w:val="auto"/>
                <w:kern w:val="0"/>
                <w:sz w:val="18"/>
                <w:szCs w:val="18"/>
                <w:lang w:val="en-US" w:eastAsia="zh-CN" w:bidi="ar"/>
              </w:rPr>
              <w:t>Table 2: Monitoring parameters for marine plastic litter to track progress against SDG Indicator 14.1.1b.</w:t>
            </w:r>
          </w:p>
          <w:tbl>
            <w:tblPr>
              <w:tblStyle w:val="54"/>
              <w:tblW w:w="4508" w:type="dxa"/>
              <w:tblInd w:w="-118" w:type="dxa"/>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Layout w:type="fixed"/>
              <w:tblCellMar>
                <w:top w:w="0" w:type="dxa"/>
                <w:left w:w="108" w:type="dxa"/>
                <w:bottom w:w="0" w:type="dxa"/>
                <w:right w:w="108" w:type="dxa"/>
              </w:tblCellMar>
            </w:tblPr>
            <w:tblGrid>
              <w:gridCol w:w="2656"/>
              <w:gridCol w:w="447"/>
              <w:gridCol w:w="404"/>
              <w:gridCol w:w="404"/>
              <w:gridCol w:w="595"/>
            </w:tblGrid>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tblCellMar>
                  <w:top w:w="0" w:type="dxa"/>
                  <w:left w:w="108" w:type="dxa"/>
                  <w:bottom w:w="0" w:type="dxa"/>
                  <w:right w:w="108" w:type="dxa"/>
                </w:tblCellMar>
              </w:tblPrEx>
              <w:tc>
                <w:tcPr>
                  <w:tcW w:w="5315" w:type="dxa"/>
                  <w:tcBorders>
                    <w:top w:val="single" w:color="FFFFFF" w:sz="4" w:space="0"/>
                    <w:left w:val="single" w:color="FFFFFF" w:sz="4" w:space="0"/>
                    <w:bottom w:val="single" w:color="FFFFFF" w:sz="4" w:space="0"/>
                    <w:right w:val="nil"/>
                  </w:tcBorders>
                  <w:shd w:val="clear" w:color="auto" w:fill="9BBB59"/>
                  <w:vAlign w:val="top"/>
                </w:tcPr>
                <w:p>
                  <w:pPr>
                    <w:keepNext w:val="0"/>
                    <w:keepLines w:val="0"/>
                    <w:widowControl/>
                    <w:suppressLineNumbers w:val="0"/>
                    <w:spacing w:before="0" w:beforeAutospacing="0" w:after="0" w:afterAutospacing="0" w:line="240" w:lineRule="auto"/>
                    <w:ind w:left="0" w:right="0"/>
                    <w:jc w:val="left"/>
                    <w:rPr>
                      <w:rFonts w:hint="default" w:eastAsia="Calibri"/>
                      <w:b/>
                      <w:bCs/>
                      <w:color w:val="auto"/>
                      <w:sz w:val="20"/>
                      <w:szCs w:val="22"/>
                      <w:lang w:val="fr" w:eastAsia="en-US"/>
                    </w:rPr>
                  </w:pPr>
                  <w:r>
                    <w:rPr>
                      <w:rFonts w:hint="default" w:ascii="Calibri" w:hAnsi="Calibri" w:eastAsia="Calibri" w:cs="Arial"/>
                      <w:b/>
                      <w:bCs/>
                      <w:color w:val="auto"/>
                      <w:kern w:val="0"/>
                      <w:sz w:val="20"/>
                      <w:szCs w:val="22"/>
                      <w:lang w:val="fr" w:eastAsia="en-US" w:bidi="ar"/>
                    </w:rPr>
                    <w:t>Monitoring parameters (and methods)</w:t>
                  </w:r>
                </w:p>
              </w:tc>
              <w:tc>
                <w:tcPr>
                  <w:tcW w:w="895" w:type="dxa"/>
                  <w:tcBorders>
                    <w:top w:val="single" w:color="FFFFFF" w:sz="4" w:space="0"/>
                    <w:left w:val="nil"/>
                    <w:bottom w:val="single" w:color="FFFFFF" w:sz="4" w:space="0"/>
                    <w:right w:val="nil"/>
                  </w:tcBorders>
                  <w:shd w:val="clear" w:color="auto" w:fill="9BBB59"/>
                  <w:vAlign w:val="top"/>
                </w:tcPr>
                <w:p>
                  <w:pPr>
                    <w:keepNext w:val="0"/>
                    <w:keepLines w:val="0"/>
                    <w:widowControl/>
                    <w:suppressLineNumbers w:val="0"/>
                    <w:spacing w:before="0" w:beforeAutospacing="0" w:after="0" w:afterAutospacing="0" w:line="240" w:lineRule="auto"/>
                    <w:ind w:left="0" w:right="0"/>
                    <w:jc w:val="left"/>
                    <w:rPr>
                      <w:rFonts w:hint="default" w:eastAsia="Calibri"/>
                      <w:b/>
                      <w:bCs/>
                      <w:color w:val="auto"/>
                      <w:sz w:val="20"/>
                      <w:szCs w:val="22"/>
                      <w:lang w:val="fr" w:eastAsia="en-US"/>
                    </w:rPr>
                  </w:pPr>
                  <w:r>
                    <w:rPr>
                      <w:rFonts w:hint="default" w:ascii="Calibri" w:hAnsi="Calibri" w:eastAsia="Calibri" w:cs="Arial"/>
                      <w:b/>
                      <w:bCs/>
                      <w:color w:val="auto"/>
                      <w:kern w:val="0"/>
                      <w:sz w:val="20"/>
                      <w:szCs w:val="22"/>
                      <w:lang w:val="fr" w:eastAsia="en-US" w:bidi="ar"/>
                    </w:rPr>
                    <w:t xml:space="preserve"> Level 1</w:t>
                  </w:r>
                </w:p>
              </w:tc>
              <w:tc>
                <w:tcPr>
                  <w:tcW w:w="810" w:type="dxa"/>
                  <w:tcBorders>
                    <w:top w:val="single" w:color="FFFFFF" w:sz="4" w:space="0"/>
                    <w:left w:val="nil"/>
                    <w:bottom w:val="single" w:color="FFFFFF" w:sz="4" w:space="0"/>
                    <w:right w:val="nil"/>
                  </w:tcBorders>
                  <w:shd w:val="clear" w:color="auto" w:fill="9BBB59"/>
                  <w:vAlign w:val="top"/>
                </w:tcPr>
                <w:p>
                  <w:pPr>
                    <w:keepNext w:val="0"/>
                    <w:keepLines w:val="0"/>
                    <w:widowControl/>
                    <w:suppressLineNumbers w:val="0"/>
                    <w:spacing w:before="0" w:beforeAutospacing="0" w:after="0" w:afterAutospacing="0" w:line="240" w:lineRule="auto"/>
                    <w:ind w:left="0" w:right="0"/>
                    <w:jc w:val="left"/>
                    <w:rPr>
                      <w:rFonts w:hint="default" w:eastAsia="Calibri"/>
                      <w:b/>
                      <w:bCs/>
                      <w:color w:val="auto"/>
                      <w:sz w:val="20"/>
                      <w:szCs w:val="22"/>
                      <w:lang w:val="fr" w:eastAsia="en-US"/>
                    </w:rPr>
                  </w:pPr>
                  <w:r>
                    <w:rPr>
                      <w:rFonts w:hint="default" w:ascii="Calibri" w:hAnsi="Calibri" w:eastAsia="Calibri" w:cs="Arial"/>
                      <w:b/>
                      <w:bCs/>
                      <w:color w:val="auto"/>
                      <w:kern w:val="0"/>
                      <w:sz w:val="20"/>
                      <w:szCs w:val="22"/>
                      <w:lang w:val="fr" w:eastAsia="en-US" w:bidi="ar"/>
                    </w:rPr>
                    <w:t>Level 2</w:t>
                  </w:r>
                </w:p>
              </w:tc>
              <w:tc>
                <w:tcPr>
                  <w:tcW w:w="810" w:type="dxa"/>
                  <w:tcBorders>
                    <w:top w:val="single" w:color="FFFFFF" w:sz="4" w:space="0"/>
                    <w:left w:val="nil"/>
                    <w:bottom w:val="single" w:color="FFFFFF" w:sz="4" w:space="0"/>
                    <w:right w:val="nil"/>
                  </w:tcBorders>
                  <w:shd w:val="clear" w:color="auto" w:fill="9BBB59"/>
                  <w:vAlign w:val="top"/>
                </w:tcPr>
                <w:p>
                  <w:pPr>
                    <w:keepNext w:val="0"/>
                    <w:keepLines w:val="0"/>
                    <w:widowControl/>
                    <w:suppressLineNumbers w:val="0"/>
                    <w:spacing w:before="0" w:beforeAutospacing="0" w:after="0" w:afterAutospacing="0" w:line="240" w:lineRule="auto"/>
                    <w:ind w:left="0" w:right="0"/>
                    <w:jc w:val="left"/>
                    <w:rPr>
                      <w:rFonts w:hint="default" w:eastAsia="Calibri"/>
                      <w:b/>
                      <w:bCs/>
                      <w:color w:val="auto"/>
                      <w:sz w:val="20"/>
                      <w:szCs w:val="22"/>
                      <w:lang w:val="fr" w:eastAsia="en-US"/>
                    </w:rPr>
                  </w:pPr>
                  <w:r>
                    <w:rPr>
                      <w:rFonts w:hint="default" w:ascii="Calibri" w:hAnsi="Calibri" w:eastAsia="Calibri" w:cs="Arial"/>
                      <w:b/>
                      <w:bCs/>
                      <w:color w:val="auto"/>
                      <w:kern w:val="0"/>
                      <w:sz w:val="20"/>
                      <w:szCs w:val="22"/>
                      <w:lang w:val="fr" w:eastAsia="en-US" w:bidi="ar"/>
                    </w:rPr>
                    <w:t>Level 3</w:t>
                  </w:r>
                </w:p>
              </w:tc>
              <w:tc>
                <w:tcPr>
                  <w:tcW w:w="1191" w:type="dxa"/>
                  <w:tcBorders>
                    <w:top w:val="single" w:color="FFFFFF" w:sz="4" w:space="0"/>
                    <w:left w:val="nil"/>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0" w:afterAutospacing="0" w:line="240" w:lineRule="auto"/>
                    <w:ind w:left="0" w:right="0"/>
                    <w:jc w:val="left"/>
                    <w:rPr>
                      <w:rFonts w:hint="default" w:eastAsia="Calibri"/>
                      <w:b/>
                      <w:bCs/>
                      <w:color w:val="auto"/>
                      <w:sz w:val="20"/>
                      <w:szCs w:val="22"/>
                      <w:lang w:val="fr" w:eastAsia="en-US"/>
                    </w:rPr>
                  </w:pPr>
                  <w:r>
                    <w:rPr>
                      <w:rFonts w:hint="default" w:ascii="Calibri" w:hAnsi="Calibri" w:eastAsia="Calibri" w:cs="Arial"/>
                      <w:b/>
                      <w:bCs/>
                      <w:color w:val="auto"/>
                      <w:kern w:val="0"/>
                      <w:sz w:val="20"/>
                      <w:szCs w:val="22"/>
                      <w:lang w:val="fr" w:eastAsia="en-US" w:bidi="ar"/>
                    </w:rPr>
                    <w:t>Reporting Frequency</w:t>
                  </w: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tblCellMar>
                  <w:top w:w="0" w:type="dxa"/>
                  <w:left w:w="108" w:type="dxa"/>
                  <w:bottom w:w="0" w:type="dxa"/>
                  <w:right w:w="108" w:type="dxa"/>
                </w:tblCellMar>
              </w:tblPrEx>
              <w:trPr>
                <w:trHeight w:val="224" w:hRule="atLeast"/>
              </w:trPr>
              <w:tc>
                <w:tcPr>
                  <w:tcW w:w="5315"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Cs/>
                      <w:color w:val="auto"/>
                      <w:sz w:val="20"/>
                      <w:szCs w:val="22"/>
                      <w:lang w:val="en-US" w:eastAsia="en-US"/>
                    </w:rPr>
                  </w:pPr>
                  <w:r>
                    <w:rPr>
                      <w:rFonts w:hint="default" w:ascii="Calibri" w:hAnsi="Calibri" w:eastAsia="Calibri" w:cs="Arial"/>
                      <w:b/>
                      <w:bCs/>
                      <w:color w:val="auto"/>
                      <w:kern w:val="0"/>
                      <w:sz w:val="20"/>
                      <w:szCs w:val="22"/>
                      <w:lang w:val="en-US" w:eastAsia="en-US" w:bidi="ar"/>
                    </w:rPr>
                    <w:t>Plastic patches greater than 10 meters*</w:t>
                  </w:r>
                </w:p>
              </w:tc>
              <w:tc>
                <w:tcPr>
                  <w:tcW w:w="895"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1191"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Annual</w:t>
                  </w: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15"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Cs/>
                      <w:color w:val="auto"/>
                      <w:sz w:val="20"/>
                      <w:szCs w:val="22"/>
                      <w:lang w:val="en-US" w:eastAsia="en-US"/>
                    </w:rPr>
                  </w:pPr>
                  <w:r>
                    <w:rPr>
                      <w:rFonts w:hint="default" w:ascii="Calibri" w:hAnsi="Calibri" w:eastAsia="Calibri" w:cs="Arial"/>
                      <w:b/>
                      <w:bCs/>
                      <w:color w:val="auto"/>
                      <w:kern w:val="0"/>
                      <w:sz w:val="20"/>
                      <w:szCs w:val="22"/>
                      <w:lang w:val="en-US" w:eastAsia="en-US" w:bidi="ar"/>
                    </w:rPr>
                    <w:t>Beach litter originating from national land-based sources</w:t>
                  </w:r>
                </w:p>
              </w:tc>
              <w:tc>
                <w:tcPr>
                  <w:tcW w:w="895"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1191"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Two years</w:t>
                  </w: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15"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Cs/>
                      <w:color w:val="auto"/>
                      <w:sz w:val="20"/>
                      <w:szCs w:val="22"/>
                      <w:lang w:val="fr" w:eastAsia="en-US"/>
                    </w:rPr>
                  </w:pPr>
                  <w:r>
                    <w:rPr>
                      <w:rFonts w:hint="default" w:ascii="Calibri" w:hAnsi="Calibri" w:eastAsia="Calibri" w:cs="Arial"/>
                      <w:bCs/>
                      <w:color w:val="auto"/>
                      <w:kern w:val="0"/>
                      <w:sz w:val="20"/>
                      <w:szCs w:val="22"/>
                      <w:lang w:val="fr" w:eastAsia="en-US" w:bidi="ar"/>
                    </w:rPr>
                    <w:t>Beach litter (beach surveys)</w:t>
                  </w:r>
                </w:p>
              </w:tc>
              <w:tc>
                <w:tcPr>
                  <w:tcW w:w="895"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1191" w:type="dxa"/>
                  <w:vMerge w:val="restart"/>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r>
                    <w:rPr>
                      <w:rFonts w:hint="default" w:ascii="Calibri" w:hAnsi="Calibri" w:eastAsia="Calibri" w:cs="Arial"/>
                      <w:color w:val="auto"/>
                      <w:kern w:val="0"/>
                      <w:sz w:val="20"/>
                      <w:szCs w:val="22"/>
                      <w:lang w:val="en-US" w:eastAsia="en-US" w:bidi="ar"/>
                    </w:rPr>
                    <w:t>4 years (aligned with Regional Seas)</w:t>
                  </w: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15"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Cs/>
                      <w:color w:val="auto"/>
                      <w:sz w:val="20"/>
                      <w:szCs w:val="22"/>
                      <w:lang w:val="en-US" w:eastAsia="en-US"/>
                    </w:rPr>
                  </w:pPr>
                  <w:r>
                    <w:rPr>
                      <w:rFonts w:hint="default" w:ascii="Calibri" w:hAnsi="Calibri" w:eastAsia="Calibri" w:cs="Arial"/>
                      <w:b/>
                      <w:bCs/>
                      <w:color w:val="auto"/>
                      <w:kern w:val="0"/>
                      <w:sz w:val="20"/>
                      <w:szCs w:val="22"/>
                      <w:lang w:val="en-US" w:eastAsia="en-US" w:bidi="ar"/>
                    </w:rPr>
                    <w:t>Floating plastics (visual observation, manta trawls)</w:t>
                  </w:r>
                </w:p>
              </w:tc>
              <w:tc>
                <w:tcPr>
                  <w:tcW w:w="895"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1191" w:type="dxa"/>
                  <w:vMerge w:val="continue"/>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Autospacing="0"/>
                    <w:ind w:left="0" w:right="0"/>
                    <w:rPr>
                      <w:rFonts w:hint="default" w:ascii="Calibri" w:hAnsi="Calibri" w:eastAsia="Calibri" w:cs="Arial"/>
                      <w:color w:val="auto"/>
                      <w:sz w:val="22"/>
                      <w:szCs w:val="22"/>
                      <w:lang w:val="fr"/>
                    </w:rPr>
                  </w:pP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15"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Cs/>
                      <w:color w:val="auto"/>
                      <w:sz w:val="20"/>
                      <w:szCs w:val="22"/>
                      <w:lang w:val="en-US" w:eastAsia="en-US"/>
                    </w:rPr>
                  </w:pPr>
                  <w:r>
                    <w:rPr>
                      <w:rFonts w:hint="default" w:ascii="Calibri" w:hAnsi="Calibri" w:eastAsia="Calibri" w:cs="Arial"/>
                      <w:b/>
                      <w:bCs/>
                      <w:color w:val="auto"/>
                      <w:kern w:val="0"/>
                      <w:sz w:val="20"/>
                      <w:szCs w:val="22"/>
                      <w:lang w:val="en-US" w:eastAsia="en-US" w:bidi="ar"/>
                    </w:rPr>
                    <w:t>Water column plastics (demersal trawls)</w:t>
                  </w:r>
                </w:p>
              </w:tc>
              <w:tc>
                <w:tcPr>
                  <w:tcW w:w="895"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1191" w:type="dxa"/>
                  <w:vMerge w:val="continue"/>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Autospacing="0"/>
                    <w:ind w:left="0" w:right="0"/>
                    <w:rPr>
                      <w:rFonts w:hint="default" w:ascii="Calibri" w:hAnsi="Calibri" w:eastAsia="Calibri" w:cs="Arial"/>
                      <w:color w:val="auto"/>
                      <w:sz w:val="22"/>
                      <w:szCs w:val="22"/>
                      <w:lang w:val="fr"/>
                    </w:rPr>
                  </w:pP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15"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Cs/>
                      <w:color w:val="auto"/>
                      <w:sz w:val="20"/>
                      <w:szCs w:val="22"/>
                      <w:lang w:val="en-US" w:eastAsia="en-US"/>
                    </w:rPr>
                  </w:pPr>
                  <w:r>
                    <w:rPr>
                      <w:rFonts w:hint="default" w:ascii="Calibri" w:hAnsi="Calibri" w:eastAsia="Calibri" w:cs="Arial"/>
                      <w:b/>
                      <w:bCs/>
                      <w:color w:val="auto"/>
                      <w:kern w:val="0"/>
                      <w:sz w:val="20"/>
                      <w:szCs w:val="22"/>
                      <w:lang w:val="en-US" w:eastAsia="en-US" w:bidi="ar"/>
                    </w:rPr>
                    <w:t>Seafloor litter (benthic trawls (e.g. fish survey trawls), divers, video/camera tows, submersibles, remotely operated vehicles)</w:t>
                  </w:r>
                </w:p>
              </w:tc>
              <w:tc>
                <w:tcPr>
                  <w:tcW w:w="895"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1191" w:type="dxa"/>
                  <w:vMerge w:val="continue"/>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Autospacing="0"/>
                    <w:ind w:left="0" w:right="0"/>
                    <w:rPr>
                      <w:rFonts w:hint="default" w:ascii="Calibri" w:hAnsi="Calibri" w:eastAsia="Calibri" w:cs="Arial"/>
                      <w:color w:val="auto"/>
                      <w:sz w:val="22"/>
                      <w:szCs w:val="22"/>
                      <w:lang w:val="fr"/>
                    </w:rPr>
                  </w:pP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15"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Cs/>
                      <w:color w:val="auto"/>
                      <w:sz w:val="20"/>
                      <w:szCs w:val="22"/>
                      <w:lang w:val="en-US" w:eastAsia="en-US"/>
                    </w:rPr>
                  </w:pPr>
                  <w:r>
                    <w:rPr>
                      <w:rFonts w:hint="default" w:ascii="Calibri" w:hAnsi="Calibri" w:eastAsia="Calibri" w:cs="Arial"/>
                      <w:b/>
                      <w:bCs/>
                      <w:color w:val="auto"/>
                      <w:kern w:val="0"/>
                      <w:sz w:val="20"/>
                      <w:szCs w:val="22"/>
                      <w:lang w:val="en-US" w:eastAsia="en-US" w:bidi="ar"/>
                    </w:rPr>
                    <w:t>Beach litter microplastics (beach samples)</w:t>
                  </w:r>
                </w:p>
              </w:tc>
              <w:tc>
                <w:tcPr>
                  <w:tcW w:w="895"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1191"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15"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Cs/>
                      <w:color w:val="auto"/>
                      <w:sz w:val="20"/>
                      <w:szCs w:val="22"/>
                      <w:lang w:val="en-US" w:eastAsia="en-US"/>
                    </w:rPr>
                  </w:pPr>
                  <w:r>
                    <w:rPr>
                      <w:rFonts w:hint="default" w:ascii="Calibri" w:hAnsi="Calibri" w:eastAsia="Calibri" w:cs="Arial"/>
                      <w:b/>
                      <w:bCs/>
                      <w:color w:val="auto"/>
                      <w:kern w:val="0"/>
                      <w:sz w:val="20"/>
                      <w:szCs w:val="22"/>
                      <w:lang w:val="en-US" w:eastAsia="en-US" w:bidi="ar"/>
                    </w:rPr>
                    <w:t>Floating microplastics (manta trawls, e.g. Continuous Plankton Recorder)</w:t>
                  </w:r>
                </w:p>
              </w:tc>
              <w:tc>
                <w:tcPr>
                  <w:tcW w:w="895"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1191"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15"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Cs/>
                      <w:color w:val="auto"/>
                      <w:sz w:val="20"/>
                      <w:szCs w:val="22"/>
                      <w:lang w:val="en-US" w:eastAsia="en-US"/>
                    </w:rPr>
                  </w:pPr>
                  <w:r>
                    <w:rPr>
                      <w:rFonts w:hint="default" w:ascii="Calibri" w:hAnsi="Calibri" w:eastAsia="Calibri" w:cs="Arial"/>
                      <w:b/>
                      <w:bCs/>
                      <w:color w:val="auto"/>
                      <w:kern w:val="0"/>
                      <w:sz w:val="20"/>
                      <w:szCs w:val="22"/>
                      <w:lang w:val="en-US" w:eastAsia="en-US" w:bidi="ar"/>
                    </w:rPr>
                    <w:t>Water column microplastics (demersal plankton trawls)</w:t>
                  </w:r>
                </w:p>
              </w:tc>
              <w:tc>
                <w:tcPr>
                  <w:tcW w:w="895"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 xml:space="preserve">X </w:t>
                  </w:r>
                </w:p>
              </w:tc>
              <w:tc>
                <w:tcPr>
                  <w:tcW w:w="1191"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15"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
                      <w:bCs w:val="0"/>
                      <w:color w:val="auto"/>
                      <w:sz w:val="20"/>
                      <w:szCs w:val="22"/>
                      <w:lang w:val="fr" w:eastAsia="en-US"/>
                    </w:rPr>
                  </w:pPr>
                  <w:r>
                    <w:rPr>
                      <w:rFonts w:hint="default" w:ascii="Calibri" w:hAnsi="Calibri" w:eastAsia="Calibri" w:cs="Arial"/>
                      <w:b/>
                      <w:bCs/>
                      <w:color w:val="auto"/>
                      <w:kern w:val="0"/>
                      <w:sz w:val="20"/>
                      <w:szCs w:val="22"/>
                      <w:lang w:val="fr" w:eastAsia="en-US" w:bidi="ar"/>
                    </w:rPr>
                    <w:t>Seafloor litter microplastics (sediment samples)</w:t>
                  </w:r>
                </w:p>
              </w:tc>
              <w:tc>
                <w:tcPr>
                  <w:tcW w:w="895"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1191"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15"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Cs/>
                      <w:color w:val="auto"/>
                      <w:sz w:val="20"/>
                      <w:szCs w:val="22"/>
                      <w:lang w:val="en-US" w:eastAsia="en-US"/>
                    </w:rPr>
                  </w:pPr>
                  <w:r>
                    <w:rPr>
                      <w:rFonts w:hint="default" w:ascii="Calibri" w:hAnsi="Calibri" w:eastAsia="Calibri" w:cs="Arial"/>
                      <w:b/>
                      <w:bCs/>
                      <w:color w:val="auto"/>
                      <w:kern w:val="0"/>
                      <w:sz w:val="20"/>
                      <w:szCs w:val="22"/>
                      <w:lang w:val="en-US" w:eastAsia="en-US" w:bidi="ar"/>
                    </w:rPr>
                    <w:t>Plastic ingestion by biota (e.g. birds, turtles, fish)</w:t>
                  </w:r>
                </w:p>
              </w:tc>
              <w:tc>
                <w:tcPr>
                  <w:tcW w:w="895"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1191"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15"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
                      <w:bCs w:val="0"/>
                      <w:color w:val="auto"/>
                      <w:sz w:val="20"/>
                      <w:szCs w:val="22"/>
                      <w:lang w:val="fr" w:eastAsia="en-US"/>
                    </w:rPr>
                  </w:pPr>
                  <w:r>
                    <w:rPr>
                      <w:rFonts w:hint="default" w:ascii="Calibri" w:hAnsi="Calibri" w:eastAsia="Calibri" w:cs="Arial"/>
                      <w:b/>
                      <w:bCs/>
                      <w:color w:val="auto"/>
                      <w:kern w:val="0"/>
                      <w:sz w:val="20"/>
                      <w:szCs w:val="22"/>
                      <w:lang w:val="fr" w:eastAsia="en-US" w:bidi="ar"/>
                    </w:rPr>
                    <w:t>Plastic litter in nests</w:t>
                  </w:r>
                </w:p>
              </w:tc>
              <w:tc>
                <w:tcPr>
                  <w:tcW w:w="895"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1191"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15"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
                      <w:bCs w:val="0"/>
                      <w:color w:val="auto"/>
                      <w:sz w:val="20"/>
                      <w:szCs w:val="22"/>
                      <w:lang w:val="fr" w:eastAsia="en-US"/>
                    </w:rPr>
                  </w:pPr>
                  <w:r>
                    <w:rPr>
                      <w:rFonts w:hint="default" w:ascii="Calibri" w:hAnsi="Calibri" w:eastAsia="Calibri" w:cs="Arial"/>
                      <w:b/>
                      <w:bCs/>
                      <w:color w:val="auto"/>
                      <w:kern w:val="0"/>
                      <w:sz w:val="20"/>
                      <w:szCs w:val="22"/>
                      <w:lang w:val="fr" w:eastAsia="en-US" w:bidi="ar"/>
                    </w:rPr>
                    <w:t>Entanglement (e.g. marine mammals, birds)</w:t>
                  </w:r>
                </w:p>
              </w:tc>
              <w:tc>
                <w:tcPr>
                  <w:tcW w:w="895"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1191"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15"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Cs/>
                      <w:color w:val="auto"/>
                      <w:sz w:val="20"/>
                      <w:szCs w:val="22"/>
                      <w:lang w:val="en-US" w:eastAsia="en-US"/>
                    </w:rPr>
                  </w:pPr>
                  <w:r>
                    <w:rPr>
                      <w:rFonts w:hint="default" w:ascii="Calibri" w:hAnsi="Calibri" w:eastAsia="Calibri" w:cs="Arial"/>
                      <w:b/>
                      <w:bCs/>
                      <w:color w:val="auto"/>
                      <w:kern w:val="0"/>
                      <w:sz w:val="20"/>
                      <w:szCs w:val="22"/>
                      <w:lang w:val="en-US" w:eastAsia="en-US" w:bidi="ar"/>
                    </w:rPr>
                    <w:t>Plastic pollution potential (based on the use and landfilling of plastics)</w:t>
                  </w:r>
                </w:p>
              </w:tc>
              <w:tc>
                <w:tcPr>
                  <w:tcW w:w="895"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1191"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15"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
                      <w:bCs w:val="0"/>
                      <w:color w:val="auto"/>
                      <w:sz w:val="20"/>
                      <w:szCs w:val="22"/>
                      <w:lang w:val="fr" w:eastAsia="en-US"/>
                    </w:rPr>
                  </w:pPr>
                  <w:r>
                    <w:rPr>
                      <w:rFonts w:hint="default" w:ascii="Calibri" w:hAnsi="Calibri" w:eastAsia="Calibri" w:cs="Arial"/>
                      <w:b/>
                      <w:bCs/>
                      <w:color w:val="auto"/>
                      <w:kern w:val="0"/>
                      <w:sz w:val="20"/>
                      <w:szCs w:val="22"/>
                      <w:lang w:val="fr" w:eastAsia="en-US" w:bidi="ar"/>
                    </w:rPr>
                    <w:t>River litter</w:t>
                  </w:r>
                </w:p>
              </w:tc>
              <w:tc>
                <w:tcPr>
                  <w:tcW w:w="895"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1191"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15"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Cs/>
                      <w:color w:val="auto"/>
                      <w:sz w:val="20"/>
                      <w:szCs w:val="22"/>
                      <w:lang w:val="en-US" w:eastAsia="en-US"/>
                    </w:rPr>
                  </w:pPr>
                  <w:r>
                    <w:rPr>
                      <w:rFonts w:hint="default" w:ascii="Calibri" w:hAnsi="Calibri" w:eastAsia="Calibri" w:cs="Arial"/>
                      <w:b/>
                      <w:bCs/>
                      <w:color w:val="auto"/>
                      <w:kern w:val="0"/>
                      <w:sz w:val="20"/>
                      <w:szCs w:val="22"/>
                      <w:lang w:val="en-US" w:eastAsia="en-US" w:bidi="ar"/>
                    </w:rPr>
                    <w:t>Other parameters related to plastic consumption and recycling</w:t>
                  </w:r>
                </w:p>
              </w:tc>
              <w:tc>
                <w:tcPr>
                  <w:tcW w:w="895"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1191" w:type="dxa"/>
                  <w:tcBorders>
                    <w:top w:val="single" w:color="FFFFFF" w:sz="4" w:space="0"/>
                    <w:left w:val="single" w:color="FFFFFF" w:sz="4" w:space="0"/>
                    <w:bottom w:val="single" w:color="FFFFFF" w:sz="4" w:space="0"/>
                    <w:right w:val="single" w:color="FFFFFF" w:sz="4" w:space="0"/>
                  </w:tcBorders>
                  <w:shd w:val="clear" w:color="auto" w:fill="EAF1DD"/>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r>
            <w:tr>
              <w:tblPrEx>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shd w:val="clear" w:color="auto" w:fill="auto"/>
                <w:tblCellMar>
                  <w:top w:w="0" w:type="dxa"/>
                  <w:left w:w="108" w:type="dxa"/>
                  <w:bottom w:w="0" w:type="dxa"/>
                  <w:right w:w="108" w:type="dxa"/>
                </w:tblCellMar>
              </w:tblPrEx>
              <w:tc>
                <w:tcPr>
                  <w:tcW w:w="5315" w:type="dxa"/>
                  <w:tcBorders>
                    <w:top w:val="single" w:color="FFFFFF" w:sz="4" w:space="0"/>
                    <w:left w:val="single" w:color="FFFFFF" w:sz="4" w:space="0"/>
                    <w:bottom w:val="single" w:color="FFFFFF" w:sz="4" w:space="0"/>
                    <w:right w:val="single" w:color="FFFFFF" w:sz="4" w:space="0"/>
                  </w:tcBorders>
                  <w:shd w:val="clear" w:color="auto" w:fill="9BBB59"/>
                  <w:vAlign w:val="top"/>
                </w:tcPr>
                <w:p>
                  <w:pPr>
                    <w:keepNext w:val="0"/>
                    <w:keepLines w:val="0"/>
                    <w:widowControl/>
                    <w:suppressLineNumbers w:val="0"/>
                    <w:spacing w:before="0" w:beforeAutospacing="0" w:after="60" w:afterAutospacing="0" w:line="240" w:lineRule="auto"/>
                    <w:ind w:left="0" w:right="0"/>
                    <w:jc w:val="left"/>
                    <w:rPr>
                      <w:rFonts w:hint="default" w:eastAsia="Calibri"/>
                      <w:bCs/>
                      <w:color w:val="auto"/>
                      <w:sz w:val="20"/>
                      <w:szCs w:val="22"/>
                      <w:lang w:val="en-US" w:eastAsia="en-US"/>
                    </w:rPr>
                  </w:pPr>
                  <w:r>
                    <w:rPr>
                      <w:rFonts w:hint="default" w:ascii="Calibri" w:hAnsi="Calibri" w:eastAsia="Calibri" w:cs="Arial"/>
                      <w:b/>
                      <w:bCs/>
                      <w:color w:val="auto"/>
                      <w:kern w:val="0"/>
                      <w:sz w:val="20"/>
                      <w:szCs w:val="22"/>
                      <w:lang w:val="en-US" w:eastAsia="en-US" w:bidi="ar"/>
                    </w:rPr>
                    <w:t>Health indicators (human health and ecosystem health)</w:t>
                  </w:r>
                </w:p>
              </w:tc>
              <w:tc>
                <w:tcPr>
                  <w:tcW w:w="895"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en-US" w:eastAsia="en-US"/>
                    </w:rPr>
                  </w:pPr>
                </w:p>
              </w:tc>
              <w:tc>
                <w:tcPr>
                  <w:tcW w:w="810"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r>
                    <w:rPr>
                      <w:rFonts w:hint="default" w:ascii="Calibri" w:hAnsi="Calibri" w:eastAsia="Calibri" w:cs="Arial"/>
                      <w:color w:val="auto"/>
                      <w:kern w:val="0"/>
                      <w:sz w:val="20"/>
                      <w:szCs w:val="22"/>
                      <w:lang w:val="fr" w:eastAsia="en-US" w:bidi="ar"/>
                    </w:rPr>
                    <w:t>X</w:t>
                  </w:r>
                </w:p>
              </w:tc>
              <w:tc>
                <w:tcPr>
                  <w:tcW w:w="1191" w:type="dxa"/>
                  <w:tcBorders>
                    <w:top w:val="single" w:color="FFFFFF" w:sz="4" w:space="0"/>
                    <w:left w:val="single" w:color="FFFFFF" w:sz="4" w:space="0"/>
                    <w:bottom w:val="single" w:color="FFFFFF" w:sz="4" w:space="0"/>
                    <w:right w:val="single" w:color="FFFFFF" w:sz="4" w:space="0"/>
                  </w:tcBorders>
                  <w:shd w:val="clear" w:color="auto" w:fill="D6E3BC"/>
                  <w:vAlign w:val="top"/>
                </w:tcPr>
                <w:p>
                  <w:pPr>
                    <w:keepNext w:val="0"/>
                    <w:keepLines w:val="0"/>
                    <w:widowControl/>
                    <w:suppressLineNumbers w:val="0"/>
                    <w:spacing w:before="0" w:beforeAutospacing="0" w:after="60" w:afterAutospacing="0" w:line="240" w:lineRule="auto"/>
                    <w:ind w:left="0" w:right="0"/>
                    <w:jc w:val="left"/>
                    <w:rPr>
                      <w:rFonts w:hint="default" w:eastAsia="Calibri"/>
                      <w:color w:val="auto"/>
                      <w:sz w:val="20"/>
                      <w:szCs w:val="22"/>
                      <w:lang w:val="fr" w:eastAsia="en-US"/>
                    </w:rPr>
                  </w:pPr>
                </w:p>
              </w:tc>
            </w:tr>
          </w:tbl>
          <w:p>
            <w:pPr>
              <w:keepNext w:val="0"/>
              <w:keepLines w:val="0"/>
              <w:widowControl/>
              <w:suppressLineNumbers w:val="0"/>
              <w:shd w:val="clear" w:fill="FFFFFF"/>
              <w:spacing w:before="0" w:beforeAutospacing="0" w:after="0" w:afterAutospacing="0" w:line="276" w:lineRule="auto"/>
              <w:ind w:left="0" w:right="0"/>
              <w:jc w:val="left"/>
              <w:rPr>
                <w:rFonts w:hint="default"/>
                <w:shd w:val="clear" w:fill="FFFFFF"/>
                <w:lang w:val="en-US"/>
              </w:rPr>
            </w:pPr>
          </w:p>
          <w:p>
            <w:pPr>
              <w:keepNext w:val="0"/>
              <w:keepLines w:val="0"/>
              <w:widowControl/>
              <w:suppressLineNumbers w:val="0"/>
              <w:shd w:val="clear" w:fill="FFFFFF"/>
              <w:spacing w:before="0" w:beforeAutospacing="0" w:after="0" w:afterAutospacing="0" w:line="276" w:lineRule="auto"/>
              <w:ind w:left="0" w:right="0"/>
              <w:jc w:val="left"/>
              <w:rPr>
                <w:rFonts w:hint="default"/>
                <w:color w:val="595959"/>
                <w:shd w:val="clear" w:fill="FFFFFF"/>
                <w:lang w:val="en-US"/>
              </w:rPr>
            </w:pPr>
            <w:r>
              <w:rPr>
                <w:rFonts w:hint="default" w:ascii="Calibri" w:hAnsi="Calibri" w:eastAsia="SimSun" w:cs="Arial"/>
                <w:color w:val="595959"/>
                <w:kern w:val="0"/>
                <w:sz w:val="22"/>
                <w:szCs w:val="22"/>
                <w:shd w:val="clear" w:fill="FFFFFF"/>
                <w:lang w:val="en-US" w:eastAsia="zh-CN" w:bidi="ar"/>
              </w:rPr>
              <w:t>A full methodology for this indicator is available in the document entitled, “Global Manual on Ocean Statistics for Measuring SDG 14.1.1, 14.2.1 and 14.5.1”: https://wedocs.unep.org/bitstream/handle/20.500.11822/35086/USO.pdf?sequence=3&amp;isAllowed=y.</w:t>
            </w:r>
          </w:p>
          <w:p>
            <w:pPr>
              <w:keepNext w:val="0"/>
              <w:keepLines w:val="0"/>
              <w:widowControl/>
              <w:suppressLineNumbers w:val="0"/>
              <w:shd w:val="clear" w:fill="FFFFFF"/>
              <w:spacing w:before="0" w:beforeAutospacing="0" w:after="0" w:afterAutospacing="0" w:line="276" w:lineRule="auto"/>
              <w:ind w:left="0" w:right="0"/>
              <w:jc w:val="left"/>
              <w:rPr>
                <w:rFonts w:hint="default"/>
                <w:shd w:val="clear" w:fill="FFFFFF"/>
                <w:lang w:val="en-US"/>
              </w:rPr>
            </w:pPr>
          </w:p>
          <w:p>
            <w:pPr>
              <w:keepNext w:val="0"/>
              <w:keepLines w:val="0"/>
              <w:widowControl/>
              <w:suppressLineNumbers w:val="0"/>
              <w:shd w:val="clear" w:fill="FFFFFF"/>
              <w:spacing w:before="0" w:beforeAutospacing="0" w:after="0" w:afterAutospacing="0" w:line="276" w:lineRule="auto"/>
              <w:ind w:left="0" w:right="0"/>
              <w:jc w:val="left"/>
              <w:rPr>
                <w:rFonts w:hint="default"/>
                <w:b/>
                <w:bCs/>
                <w:color w:val="595959"/>
                <w:shd w:val="clear" w:fill="FFFFFF"/>
                <w:lang w:val="en-US"/>
              </w:rPr>
            </w:pPr>
            <w:r>
              <w:rPr>
                <w:rFonts w:hint="default" w:ascii="Calibri" w:hAnsi="Calibri" w:eastAsia="SimSun" w:cs="Arial"/>
                <w:b/>
                <w:bCs/>
                <w:color w:val="595959"/>
                <w:kern w:val="0"/>
                <w:sz w:val="22"/>
                <w:szCs w:val="22"/>
                <w:shd w:val="clear" w:fill="FFFFFF"/>
                <w:lang w:val="en-US" w:eastAsia="zh-CN" w:bidi="ar"/>
              </w:rPr>
              <w:t>Concepts:</w:t>
            </w:r>
          </w:p>
          <w:p>
            <w:pPr>
              <w:keepNext w:val="0"/>
              <w:keepLines w:val="0"/>
              <w:widowControl/>
              <w:suppressLineNumbers w:val="0"/>
              <w:shd w:val="clear" w:fill="FFFFFF"/>
              <w:spacing w:before="0" w:beforeAutospacing="0" w:after="0" w:afterAutospacing="0" w:line="276" w:lineRule="auto"/>
              <w:ind w:left="0" w:right="0"/>
              <w:jc w:val="left"/>
              <w:rPr>
                <w:rFonts w:hint="default"/>
                <w:color w:val="595959"/>
                <w:shd w:val="clear" w:fill="FFFFFF"/>
                <w:lang w:val="en-US"/>
              </w:rPr>
            </w:pPr>
            <w:r>
              <w:rPr>
                <w:rFonts w:hint="default" w:ascii="Calibri" w:hAnsi="Calibri" w:eastAsia="SimSun" w:cs="Arial"/>
                <w:color w:val="595959"/>
                <w:kern w:val="0"/>
                <w:sz w:val="22"/>
                <w:szCs w:val="22"/>
                <w:shd w:val="clear" w:fill="FFFFFF"/>
                <w:lang w:val="en-US" w:eastAsia="zh-CN" w:bidi="ar"/>
              </w:rPr>
              <w:t>Eutrophication – excess nutrient loading into coastal environments from anthropogenic sources, resulting in excessive growth of plants, algae and phytoplankton.</w:t>
            </w:r>
          </w:p>
          <w:p>
            <w:pPr>
              <w:keepNext w:val="0"/>
              <w:keepLines w:val="0"/>
              <w:widowControl/>
              <w:suppressLineNumbers w:val="0"/>
              <w:shd w:val="clear" w:fill="FFFFFF"/>
              <w:spacing w:before="0" w:beforeAutospacing="0" w:after="0" w:afterAutospacing="0" w:line="276" w:lineRule="auto"/>
              <w:ind w:left="0" w:right="0"/>
              <w:jc w:val="left"/>
              <w:rPr>
                <w:rFonts w:hint="default"/>
                <w:color w:val="595959"/>
                <w:shd w:val="clear" w:fill="FFFFFF"/>
                <w:lang w:val="en-US"/>
              </w:rPr>
            </w:pPr>
            <w:r>
              <w:rPr>
                <w:rFonts w:hint="default" w:ascii="Calibri" w:hAnsi="Calibri" w:eastAsia="SimSun" w:cs="Arial"/>
                <w:color w:val="595959"/>
                <w:kern w:val="0"/>
                <w:sz w:val="22"/>
                <w:szCs w:val="22"/>
                <w:shd w:val="clear" w:fill="FFFFFF"/>
                <w:lang w:val="en-US" w:eastAsia="zh-CN" w:bidi="ar"/>
              </w:rPr>
              <w:t xml:space="preserve">Coastal Zone – national Exclusive Economic Zone (EEZ) (200 nautical miles from the coast) as outlined by the United Nations Convention on the Law of the Sea.   </w:t>
            </w:r>
          </w:p>
          <w:p>
            <w:pPr>
              <w:keepNext w:val="0"/>
              <w:keepLines w:val="0"/>
              <w:widowControl/>
              <w:suppressLineNumbers w:val="0"/>
              <w:shd w:val="clear" w:fill="FFFFFF"/>
              <w:spacing w:before="0" w:beforeAutospacing="0" w:after="0" w:afterAutospacing="0" w:line="276" w:lineRule="auto"/>
              <w:ind w:left="0" w:right="0"/>
              <w:jc w:val="left"/>
              <w:rPr>
                <w:rFonts w:hint="default"/>
              </w:rPr>
            </w:pPr>
            <w:r>
              <w:rPr>
                <w:rFonts w:hint="default" w:ascii="Calibri" w:hAnsi="Calibri" w:eastAsia="SimSun" w:cs="Arial"/>
                <w:color w:val="595959"/>
                <w:kern w:val="0"/>
                <w:sz w:val="22"/>
                <w:szCs w:val="22"/>
                <w:shd w:val="clear" w:fill="FFFFFF"/>
                <w:lang w:val="en-US" w:eastAsia="zh-CN" w:bidi="ar"/>
              </w:rPr>
              <w:t>Marine litter - any persistent, manufactured or processed solid material which is lost or discarded and ends up in the marine and coastal environment.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vertAlign w:val="superscript"/>
                <w:lang w:val="en-CA"/>
              </w:rPr>
            </w:pPr>
            <w:r>
              <w:rPr>
                <w:rFonts w:hint="default"/>
                <w:lang w:val="en-CA"/>
              </w:rPr>
              <w:t>Plastic count per km</w:t>
            </w:r>
            <w:r>
              <w:rPr>
                <w:rFonts w:hint="default"/>
                <w:vertAlign w:val="superscript"/>
                <w:lang w:val="en-CA"/>
              </w:rPr>
              <w:t>2</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7932746"/>
            <w:bookmarkStart w:id="19" w:name="_Toc36813074"/>
            <w:r>
              <w:rPr>
                <w:rFonts w:hint="default"/>
                <w:sz w:val="32"/>
                <w:szCs w:val="32"/>
              </w:rPr>
              <w:t>3. Data source type and data collection method</w:t>
            </w:r>
            <w:bookmarkEnd w:id="18"/>
            <w:bookmarkEnd w:id="19"/>
          </w:p>
        </w:tc>
      </w:tr>
      <w:tr>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 xml:space="preserve"> Tides data</w:t>
            </w:r>
          </w:p>
        </w:tc>
      </w:tr>
      <w:permEnd w:id="25"/>
      <w:tr>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Ocean Conservancy</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US"/>
              </w:rPr>
            </w:pPr>
            <w:r>
              <w:rPr>
                <w:rFonts w:hint="default"/>
                <w:lang w:val="en-US"/>
              </w:rPr>
              <w:t>Ghana Statistical Service</w:t>
            </w:r>
          </w:p>
        </w:tc>
      </w:tr>
      <w:permEnd w:id="30"/>
      <w:tr>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6813075"/>
            <w:bookmarkStart w:id="21" w:name="_Toc37932747"/>
            <w:bookmarkStart w:id="22" w:name="_Toc36812688"/>
            <w:bookmarkStart w:id="23" w:name="_Toc36812575"/>
            <w:bookmarkStart w:id="24" w:name="_Toc36655612"/>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Coastal areas are areas of high productivity where inputs from land, sea, air and people converge. With over 40 percent of the human population residing in coastal areas, ecosystem degradation in these areas can have disproportionate effects on society (IGOS, 2006). One of the largest pressures on coastal environments is eutrophication, resulting primarily from land-based nutrient input from agricultural runoff and domestic wastewater discharge. Coastal eutrophication can lead to serious damage to marine ecosystems, vital sea habitats, and can cause the spread of harmful algal blooms. Marine litter is found in all the world’s oceans and seas. It constitutes an increasing risk to ecosystem health and biodiversity while entailing substantial economic costs through its impacts on public health, tourism, fishing and aquaculture. Target 14.1 aims to reduce the impacts of pollution through prevention and reduction of marine pollution of all kinds, in particular from land-based activities, including marine debris and nutrient pollution.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vertAlign w:val="baseline"/>
                <w:lang w:val="en-CA"/>
              </w:rPr>
            </w:pPr>
            <w:r>
              <w:rPr>
                <w:rFonts w:hint="default"/>
                <w:lang w:val="en-CA"/>
              </w:rPr>
              <w:t>Plastic count per km</w:t>
            </w:r>
            <w:r>
              <w:rPr>
                <w:rFonts w:hint="default"/>
                <w:vertAlign w:val="superscript"/>
                <w:lang w:val="en-CA"/>
              </w:rPr>
              <w:t>2</w:t>
            </w:r>
            <w:r>
              <w:rPr>
                <w:rFonts w:hint="default"/>
                <w:vertAlign w:val="baseline"/>
                <w:lang w:val="en-CA"/>
              </w:rPr>
              <w:t xml:space="preserve"> = (1,</w:t>
            </w:r>
            <w:bookmarkStart w:id="38" w:name="_GoBack"/>
            <w:bookmarkEnd w:id="38"/>
            <w:r>
              <w:rPr>
                <w:rFonts w:hint="default"/>
                <w:vertAlign w:val="baseline"/>
                <w:lang w:val="en-CA"/>
              </w:rPr>
              <w:t>000,000*number of plastics found)/(total area cleaned)</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6812576"/>
            <w:bookmarkStart w:id="26" w:name="_Toc36813076"/>
            <w:bookmarkStart w:id="27" w:name="_Toc36655613"/>
            <w:bookmarkStart w:id="28" w:name="_Toc37932748"/>
            <w:bookmarkStart w:id="29" w:name="_Toc36812689"/>
            <w:r>
              <w:rPr>
                <w:rFonts w:hint="default"/>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characterSpacingControl w:val="doNotCompress"/>
  <w:footnotePr>
    <w:footnote w:id="2"/>
    <w:footnote w:id="3"/>
  </w:footnotePr>
  <w:endnotePr>
    <w:numFmt w:val="decimal"/>
    <w:endnote w:id="0"/>
    <w:endnote w:id="1"/>
  </w:endnotePr>
  <w:compat>
    <w:doNotExpandShiftReturn/>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21FA4"/>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2092"/>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CD50CDA"/>
    <w:rsid w:val="3D8B1E2B"/>
    <w:rsid w:val="4C736C2F"/>
    <w:rsid w:val="58D961DE"/>
    <w:rsid w:val="6C70396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Calibri" w:hAnsi="Calibri" w:eastAsia="SimSun" w:cs="Arial"/>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200" w:afterAutospacing="0" w:line="276" w:lineRule="auto"/>
      <w:ind w:left="0" w:right="0"/>
    </w:pPr>
    <w:rPr>
      <w:rFonts w:hint="default" w:ascii="Calibri" w:hAnsi="Calibri" w:cs="Arial"/>
      <w:sz w:val="22"/>
      <w:szCs w:val="22"/>
      <w:lang w:val="en-US" w:eastAsia="zh-CN"/>
    </w:rPr>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rPr>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table" w:customStyle="1" w:styleId="54">
    <w:name w:val="Grid Table 5 Dark - Accent 31"/>
    <w:qFormat/>
    <w:uiPriority w:val="0"/>
    <w:pPr>
      <w:keepNext w:val="0"/>
      <w:keepLines w:val="0"/>
      <w:widowControl/>
      <w:suppressLineNumbers w:val="0"/>
      <w:spacing w:before="0" w:beforeAutospacing="0" w:after="0" w:afterAutospacing="0"/>
      <w:ind w:left="0" w:right="0"/>
    </w:pPr>
    <w:rPr>
      <w:rFonts w:hint="default" w:ascii="Calibri" w:hAnsi="Calibri" w:eastAsia="Calibri" w:cs="Arial"/>
      <w:sz w:val="22"/>
      <w:szCs w:val="22"/>
      <w:lang w:val="fr"/>
    </w:rPr>
    <w:tblPr>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tblCellMar>
        <w:top w:w="0" w:type="dxa"/>
        <w:left w:w="108" w:type="dxa"/>
        <w:bottom w:w="0" w:type="dxa"/>
        <w:right w:w="108" w:type="dxa"/>
      </w:tblCellMar>
    </w:tblPr>
    <w:tcPr>
      <w:tcBorders>
        <w:top w:val="single" w:color="FFFFFF" w:sz="4" w:space="0"/>
        <w:left w:val="single" w:color="FFFFFF" w:sz="4" w:space="0"/>
        <w:bottom w:val="single" w:color="FFFFFF" w:sz="4" w:space="0"/>
        <w:right w:val="single" w:color="FFFFFF" w:sz="4" w:space="0"/>
      </w:tcBorders>
      <w:shd w:val="clear" w:color="auto" w:fill="EAF1DD"/>
    </w:tcPr>
    <w:tblStylePr w:type="firstRow">
      <w:rPr>
        <w:b/>
        <w:bCs/>
        <w:color w:val="FFFFFF"/>
      </w:rPr>
      <w:tcPr>
        <w:tcBorders>
          <w:top w:val="single" w:color="FFFFFF" w:sz="4" w:space="0"/>
          <w:left w:val="single" w:color="FFFFFF" w:sz="4" w:space="0"/>
          <w:right w:val="single" w:color="FFFFFF" w:sz="4" w:space="0"/>
        </w:tcBorders>
        <w:shd w:val="clear" w:color="auto" w:fill="9BBB59"/>
      </w:tcPr>
    </w:tblStylePr>
    <w:tblStylePr w:type="lastRow">
      <w:rPr>
        <w:b/>
        <w:bCs/>
        <w:color w:val="FFFFFF"/>
      </w:rPr>
      <w:tcPr>
        <w:tcBorders>
          <w:left w:val="single" w:color="FFFFFF" w:sz="4" w:space="0"/>
          <w:bottom w:val="single" w:color="FFFFFF" w:sz="4" w:space="0"/>
          <w:right w:val="single" w:color="FFFFFF" w:sz="4" w:space="0"/>
        </w:tcBorders>
        <w:shd w:val="clear" w:color="auto" w:fill="9BBB59"/>
      </w:tcPr>
    </w:tblStylePr>
    <w:tblStylePr w:type="firstCol">
      <w:rPr>
        <w:b/>
        <w:bCs/>
        <w:color w:val="FFFFFF"/>
      </w:rPr>
      <w:tcPr>
        <w:tcBorders>
          <w:top w:val="single" w:color="FFFFFF" w:sz="4" w:space="0"/>
          <w:left w:val="single" w:color="FFFFFF" w:sz="4" w:space="0"/>
          <w:bottom w:val="single" w:color="FFFFFF" w:sz="4" w:space="0"/>
        </w:tcBorders>
        <w:shd w:val="clear" w:color="auto" w:fill="9BBB59"/>
      </w:tcPr>
    </w:tblStylePr>
    <w:tblStylePr w:type="lastCol">
      <w:rPr>
        <w:b/>
        <w:bCs/>
        <w:color w:val="FFFFFF"/>
      </w:rPr>
      <w:tcPr>
        <w:tcBorders>
          <w:top w:val="single" w:color="FFFFFF" w:sz="4" w:space="0"/>
          <w:bottom w:val="single" w:color="FFFFFF" w:sz="4" w:space="0"/>
          <w:right w:val="single" w:color="FFFFFF" w:sz="4" w:space="0"/>
        </w:tcBorders>
        <w:shd w:val="clear" w:color="auto" w:fill="9BBB59"/>
      </w:tcPr>
    </w:tblStylePr>
    <w:tblStylePr w:type="band1Vert">
      <w:tcPr>
        <w:shd w:val="clear" w:color="auto" w:fill="D6E3BC"/>
      </w:tcPr>
    </w:tblStylePr>
    <w:tblStylePr w:type="band1Horz">
      <w:tcPr>
        <w:shd w:val="clear" w:color="auto" w:fill="D6E3BC"/>
      </w:tcPr>
    </w:tblStylePr>
  </w:style>
  <w:style w:type="table" w:customStyle="1" w:styleId="55">
    <w:name w:val="Grid Table 5 Dark - Accent 3"/>
    <w:qFormat/>
    <w:uiPriority w:val="0"/>
    <w:pPr>
      <w:keepNext w:val="0"/>
      <w:keepLines w:val="0"/>
      <w:widowControl/>
      <w:suppressLineNumbers w:val="0"/>
      <w:spacing w:before="0" w:beforeAutospacing="0" w:after="0" w:afterAutospacing="0"/>
      <w:ind w:left="0" w:right="0"/>
    </w:pPr>
    <w:rPr>
      <w:rFonts w:hint="default" w:ascii="Calibri" w:hAnsi="Calibri" w:eastAsia="Calibri" w:cs="Arial"/>
      <w:sz w:val="22"/>
      <w:szCs w:val="22"/>
      <w:lang w:val="fr"/>
    </w:rPr>
    <w:tblPr>
      <w:tblBorders>
        <w:top w:val="single" w:color="FFFFFF" w:sz="4" w:space="0"/>
        <w:left w:val="single" w:color="FFFFFF" w:sz="4" w:space="0"/>
        <w:bottom w:val="single" w:color="FFFFFF" w:sz="4" w:space="0"/>
        <w:right w:val="single" w:color="FFFFFF" w:sz="4" w:space="0"/>
        <w:insideH w:val="single" w:color="FFFFFF" w:sz="4" w:space="0"/>
        <w:insideV w:val="single" w:color="FFFFFF" w:sz="4" w:space="0"/>
      </w:tblBorders>
      <w:tblCellMar>
        <w:top w:w="0" w:type="dxa"/>
        <w:left w:w="108" w:type="dxa"/>
        <w:bottom w:w="0" w:type="dxa"/>
        <w:right w:w="108" w:type="dxa"/>
      </w:tblCellMar>
    </w:tblPr>
    <w:tcPr>
      <w:tcBorders>
        <w:top w:val="single" w:color="FFFFFF" w:sz="4" w:space="0"/>
        <w:left w:val="single" w:color="FFFFFF" w:sz="4" w:space="0"/>
        <w:bottom w:val="single" w:color="FFFFFF" w:sz="4" w:space="0"/>
        <w:right w:val="single" w:color="FFFFFF" w:sz="4" w:space="0"/>
      </w:tcBorders>
      <w:shd w:val="clear" w:color="auto" w:fill="EAF1DD"/>
    </w:tcPr>
    <w:tblStylePr w:type="firstRow">
      <w:rPr>
        <w:b/>
        <w:bCs/>
        <w:color w:val="FFFFFF"/>
      </w:rPr>
      <w:tcPr>
        <w:tcBorders>
          <w:top w:val="single" w:color="FFFFFF" w:sz="4" w:space="0"/>
          <w:left w:val="single" w:color="FFFFFF" w:sz="4" w:space="0"/>
          <w:right w:val="single" w:color="FFFFFF" w:sz="4" w:space="0"/>
        </w:tcBorders>
        <w:shd w:val="clear" w:color="auto" w:fill="9BBB59"/>
      </w:tcPr>
    </w:tblStylePr>
    <w:tblStylePr w:type="lastRow">
      <w:rPr>
        <w:b/>
        <w:bCs/>
        <w:color w:val="FFFFFF"/>
      </w:rPr>
      <w:tcPr>
        <w:tcBorders>
          <w:left w:val="single" w:color="FFFFFF" w:sz="4" w:space="0"/>
          <w:bottom w:val="single" w:color="FFFFFF" w:sz="4" w:space="0"/>
          <w:right w:val="single" w:color="FFFFFF" w:sz="4" w:space="0"/>
        </w:tcBorders>
        <w:shd w:val="clear" w:color="auto" w:fill="9BBB59"/>
      </w:tcPr>
    </w:tblStylePr>
    <w:tblStylePr w:type="firstCol">
      <w:rPr>
        <w:b/>
        <w:bCs/>
        <w:color w:val="FFFFFF"/>
      </w:rPr>
      <w:tcPr>
        <w:tcBorders>
          <w:top w:val="single" w:color="FFFFFF" w:sz="4" w:space="0"/>
          <w:left w:val="single" w:color="FFFFFF" w:sz="4" w:space="0"/>
          <w:bottom w:val="single" w:color="FFFFFF" w:sz="4" w:space="0"/>
        </w:tcBorders>
        <w:shd w:val="clear" w:color="auto" w:fill="9BBB59"/>
      </w:tcPr>
    </w:tblStylePr>
    <w:tblStylePr w:type="lastCol">
      <w:rPr>
        <w:b/>
        <w:bCs/>
        <w:color w:val="FFFFFF"/>
      </w:rPr>
      <w:tcPr>
        <w:tcBorders>
          <w:top w:val="single" w:color="FFFFFF" w:sz="4" w:space="0"/>
          <w:bottom w:val="single" w:color="FFFFFF" w:sz="4" w:space="0"/>
          <w:right w:val="single" w:color="FFFFFF" w:sz="4" w:space="0"/>
        </w:tcBorders>
        <w:shd w:val="clear" w:color="auto" w:fill="9BBB59"/>
      </w:tcPr>
    </w:tblStylePr>
    <w:tblStylePr w:type="band1Vert">
      <w:tcPr>
        <w:shd w:val="clear" w:color="auto" w:fill="D6E3BC"/>
      </w:tcPr>
    </w:tblStylePr>
    <w:tblStylePr w:type="band1Horz">
      <w:tcPr>
        <w:shd w:val="clear" w:color="auto" w:fill="D6E3BC"/>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215415</Words>
  <Characters>1227871</Characters>
  <Lines>10232</Lines>
  <Paragraphs>2880</Paragraphs>
  <TotalTime>25</TotalTime>
  <ScaleCrop>false</ScaleCrop>
  <LinksUpToDate>false</LinksUpToDate>
  <CharactersWithSpaces>1440406</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2021-11-05T10:28:00Z</dcterms:created>
  <dc:creator>Fanning, Stephen B (JMD)</dc:creator>
  <cp:lastModifiedBy>Doreen</cp:lastModifiedBy>
  <cp:lastPrinted>2020-04-16T14:23:00Z</cp:lastPrinted>
  <dcterms:modified xsi:type="dcterms:W3CDTF">2022-09-22T15:57:51Z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AF4EDBC6FAA649BA9CB96ED5799D7789</vt:lpwstr>
  </property>
</Properties>
</file>