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17.6.1 Fixed broadband subscriptions per 100 inhabitants [17.6.1] (IT_NET_BBND)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3071"/>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sz w:val="22"/>
                <w:szCs w:val="22"/>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17.6: Enhance North-South, South-South and triangular regional and international cooperation on and access to science, technology and innovation and enhance knowledge-sharing on mutually agreed terms, including through improved coordination among existing mechanisms, in particular at the United Nations level, and through a global technology facilitation mechanism</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Indicator 17.6.1: Fixed Internet broadband subscriptions per 100 inhabitants, by speed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8.2, 9.1, 9.c, 17.8</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rPr>
            </w:pPr>
            <w:r>
              <w:rPr>
                <w:sz w:val="22"/>
                <w:szCs w:val="22"/>
              </w:rP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3072"/>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color w:val="000000"/>
              </w:rPr>
              <w:t>The National Communications Authority (NCA)</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6812573"/>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Definition: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indicator fixed Internet broadband subscriptions, by speed, refers to the number of fixed-broadband subscriptions to the public Internet, split by advertised download speed.</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indicator is currently broken down by the following subscription speeds: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- 256 kbit/s to less than 2 Mbit/s subscriptions: Refers to all</w:t>
            </w:r>
            <w:r>
              <w:rPr>
                <w:rFonts w:hint="default" w:ascii="Times New Roman" w:hAnsi="Times New Roman" w:cs="Times New Roman"/>
                <w:i w:val="0"/>
                <w:iCs w:val="0"/>
                <w:caps w:val="0"/>
                <w:color w:val="000000"/>
                <w:spacing w:val="0"/>
                <w:sz w:val="27"/>
                <w:szCs w:val="27"/>
              </w:rPr>
              <w:t xml:space="preserve"> </w:t>
            </w:r>
            <w:r>
              <w:rPr>
                <w:rFonts w:hint="default" w:ascii="Calibri" w:hAnsi="Calibri" w:cs="Calibri"/>
                <w:i w:val="0"/>
                <w:iCs w:val="0"/>
                <w:caps w:val="0"/>
                <w:color w:val="000000"/>
                <w:spacing w:val="0"/>
                <w:sz w:val="22"/>
                <w:szCs w:val="22"/>
              </w:rPr>
              <w:t>fixed broadband Internet subscriptions with advertised downstream speeds equal to, or greater than, 256 kbit/s and less than 2 Mbit/s.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- 2 Mbit/s to less than 10 Mbit/s subscriptions: Refers to all fixed -broadband Internet subscriptions with advertised downstream speeds equal to, or greater than, 2 Mbit/s and less than 10 Mbit/s.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Equal to or above 10 Mbit/s subscriptions (4213_G10). Refers to all fixed -broadband Internet subscriptions with advertised downstream speeds equal to, or greater than, 10 Mbit/s.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Concepts: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Fixed Internet broadband subscriptions refer to subscriptions to high-speed access to the public Internet (a TCP/IP connection), at downstream speeds equal to, or greater than, 256 kbit/s. This includes cable modem, DSL, fibre-to-the-home/building, other fixed (wired)-broadband subscriptions, satellite broadband and terrestrial fixed wireless broadband. This total is measured irrespective of the method of payment. It excludes subscriptions that have access to data communications (including the Internet) via mobile-cellular networks. It should include fixed WiMAX and any other fixed wireless technologies. It includes both residential subscriptions and subscriptions for organizations.</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The Internet is a worldwide public computer network. It provides access to a number of communication services including the World Wide Web and carries e-mail, news, entertainment and data files.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lang w:val="en-CA"/>
              </w:rPr>
              <w:t>P</w:t>
            </w:r>
            <w:r>
              <w:t>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iCs/>
              </w:rPr>
              <w:t>Household Survey on ICT in Ghana,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color w:val="000000"/>
              </w:rPr>
              <w:t>The National Communications Authority (NCA)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7932747"/>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Internet has become an increasingly important tool to provide access to information, and can help foster and enhance regional and international cooperation on, and access to, science, technology and innovations, and enhance knowledge sharing. High-speed Internet access is important to ensure that Internet users have quality access to the Internet and can take advantage of the growing amount of Internet content – including user-generated content –, services and information.</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While the number of fixed-broadband subscriptions has increased substantially over the last years and while service providers offer increasingly higher speeds, fixed Internet broadband can vary tremendously by speed, thus affecting the quality and functionality of Internet access. Many countries, especially in the developing world, have not only a very limited amount of fixed-broadband subscriptions, but also at very low speeds. This limitation is a barrier to the Target 17.6 and the indicator highlights the potential of the Internet (especially through high-speed access) to enhance cooperation, improve access to science, technology and innovation, and share knowledge. The indicator also highlights the importance of Internet use as a development enabler and helps to measure the digital divide, which, if not properly addressed, will aggravate inequalities in all development domains. Information on fixed broadband subscriptions by speed will contribute to the design of targeted policies to overcome those divides.</w:t>
            </w:r>
            <w:bookmarkStart w:id="38" w:name="_GoBack"/>
            <w:bookmarkEnd w:id="38"/>
          </w:p>
        </w:tc>
      </w:tr>
      <w:permEnd w:id="33"/>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576"/>
            <w:bookmarkStart w:id="28" w:name="_Toc36812689"/>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0E84"/>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7556"/>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490E"/>
    <w:rsid w:val="00F96E8D"/>
    <w:rsid w:val="00FA20D9"/>
    <w:rsid w:val="00FB03D0"/>
    <w:rsid w:val="00FD54D7"/>
    <w:rsid w:val="00FF642D"/>
    <w:rsid w:val="1AC91F68"/>
    <w:rsid w:val="55891EE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215462</Words>
  <Characters>1228139</Characters>
  <Lines>10234</Lines>
  <Paragraphs>2881</Paragraphs>
  <TotalTime>7</TotalTime>
  <ScaleCrop>false</ScaleCrop>
  <LinksUpToDate>false</LinksUpToDate>
  <CharactersWithSpaces>1440720</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2021-11-29T12:25:00Z</dcterms:created>
  <dc:creator>Fanning, Stephen B (JMD)</dc:creator>
  <cp:lastModifiedBy>Doreen</cp:lastModifiedBy>
  <cp:lastPrinted>2020-04-16T14:23:00Z</cp:lastPrinted>
  <dcterms:modified xsi:type="dcterms:W3CDTF">2022-09-28T20:50:57Z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422CDB0B518A4AA68DB95A79151622BD</vt:lpwstr>
  </property>
</Properties>
</file>