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2.2.1 Proportion of children moderately or severely stunted [2.2.1] (SH_STA_STNT)</w:t>
          </w:r>
          <w:bookmarkEnd w:id="1"/>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571"/>
            <w:bookmarkStart w:id="5" w:name="_Toc37932743"/>
            <w:bookmarkStart w:id="6" w:name="_Toc36812684"/>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shd w:val="clear" w:color="auto" w:fill="F5F5F5"/>
              <w:spacing w:after="0"/>
              <w:outlineLvl w:val="4"/>
              <w:rPr>
                <w:rFonts w:eastAsia="Times New Roman" w:cs="Times New Roman"/>
                <w:lang w:eastAsia="en-GB"/>
              </w:rPr>
            </w:pPr>
            <w:r>
              <w:rPr>
                <w:rFonts w:eastAsia="Times New Roman" w:cs="Times New Roman"/>
                <w:lang w:eastAsia="en-GB"/>
              </w:rPr>
              <w:t>Goal 2: End hunger, achieve food security and improved nutrition, and promote sustainable agriculture</w:t>
            </w:r>
          </w:p>
          <w:p>
            <w:pPr>
              <w:bidi w:val="0"/>
              <w:rPr>
                <w:rStyle w:val="18"/>
              </w:rPr>
            </w:pP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outlineLvl w:val="4"/>
              <w:rPr>
                <w:rFonts w:eastAsia="Times New Roman" w:cs="Times New Roman"/>
                <w:color w:val="333333"/>
                <w:sz w:val="22"/>
                <w:szCs w:val="22"/>
                <w:lang w:eastAsia="en-GB"/>
              </w:rPr>
            </w:pPr>
            <w:r>
              <w:rPr>
                <w:rFonts w:eastAsia="Times New Roman" w:cs="Times New Roman"/>
                <w:color w:val="333333"/>
                <w:sz w:val="22"/>
                <w:szCs w:val="22"/>
                <w:lang w:eastAsia="en-GB"/>
              </w:rPr>
              <w:t>Target 2.2: by 2030 end all forms of malnutrition, including achieving by 2025 the internationally agreed targets on stunting and wasting in children under five years of age, and address the nutritional needs of adolescent girls, pregnant and lactating women, and older persons</w:t>
            </w:r>
          </w:p>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2.2</w:t>
            </w:r>
            <w:bookmarkStart w:id="38" w:name="_GoBack"/>
            <w:bookmarkEnd w:id="38"/>
            <w:r>
              <w:t>.1: Prevalence of stunting (height for age &lt;-2 standard deviation from the median of the World Health Organization (WHO) Child Growth Standards) among children under 5 years of age</w:t>
            </w:r>
          </w:p>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bidi w:val="0"/>
              <w:rPr>
                <w:lang w:eastAsia="en-GB"/>
              </w:rPr>
            </w:pPr>
            <w:r>
              <w:rPr>
                <w:lang w:eastAsia="en-GB"/>
              </w:rPr>
              <w:t>United Nations Children's Fund (UNICEF)</w:t>
            </w:r>
          </w:p>
          <w:p>
            <w:pPr>
              <w:bidi w:val="0"/>
              <w:rPr>
                <w:lang w:eastAsia="en-GB"/>
              </w:rPr>
            </w:pPr>
            <w:r>
              <w:rPr>
                <w:lang w:eastAsia="en-GB"/>
              </w:rPr>
              <w:t>World Health Organization (WHO)</w:t>
            </w:r>
          </w:p>
          <w:p>
            <w:pPr>
              <w:bidi w:val="0"/>
              <w:rPr>
                <w:lang w:eastAsia="en-GB"/>
              </w:rPr>
            </w:pPr>
            <w:r>
              <w:rPr>
                <w:lang w:eastAsia="en-GB"/>
              </w:rPr>
              <w:t>World Bank (WB)</w:t>
            </w:r>
          </w:p>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812572"/>
            <w:bookmarkStart w:id="10" w:name="_Toc37932744"/>
            <w:bookmarkStart w:id="11" w:name="_Toc36812685"/>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3073"/>
            <w:bookmarkStart w:id="15" w:name="_Toc37932745"/>
            <w:bookmarkStart w:id="16" w:name="_Toc36655610"/>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r>
              <w:t>Prevalence of wasting (weight for height &lt;-2 standard deviations from the median of the World Health Organization (WHO) Child Growth Standards) among children under 5 years of age.</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w:t>
            </w:r>
          </w:p>
        </w:tc>
      </w:tr>
      <w:permEnd w:id="22"/>
      <w:tr>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iCs/>
              </w:rPr>
            </w:pPr>
            <w:r>
              <w:rPr>
                <w:rFonts w:hint="default" w:eastAsia="Arial" w:cs="Arial" w:asciiTheme="minorAscii" w:hAnsiTheme="minorAscii"/>
                <w:iCs/>
                <w:sz w:val="22"/>
                <w:szCs w:val="22"/>
              </w:rPr>
              <w:t>2011 Ghana MICS,</w:t>
            </w:r>
            <w:r>
              <w:rPr>
                <w:rFonts w:hint="default" w:eastAsia="Arial" w:cs="Arial" w:asciiTheme="minorAscii" w:hAnsiTheme="minorAscii"/>
                <w:i/>
                <w:sz w:val="22"/>
                <w:szCs w:val="22"/>
              </w:rPr>
              <w:t xml:space="preserve"> 2018 Ghana MICS; GDHS 2014</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2688"/>
            <w:bookmarkStart w:id="22" w:name="_Toc36655612"/>
            <w:bookmarkStart w:id="23" w:name="_Toc36813075"/>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Child growth is an internationally accepted outcome reflecting child nutritional status. Child stunting refers to a child who is too short for his or her age and is the result of chronic or recurrent malnutrition. Stunting is a contributing risk factor to child mortality and is also a marker of inequalities in human development. Stunted children fail to reach their physical and cognitive potential. Child stunting is one of the World Health Assembly nutrition target indicators.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812576"/>
            <w:bookmarkStart w:id="27" w:name="_Toc36812689"/>
            <w:bookmarkStart w:id="28" w:name="_Toc36655613"/>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US"/>
              </w:rPr>
              <w:t xml:space="preserve">The data has been disaggregated by sex, rural and urban areas </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"https://unstats.un.org/sdgs/metadata/" </w:instrText>
            </w:r>
            <w:r>
              <w:fldChar w:fldCharType="separate"/>
            </w:r>
            <w:r>
              <w:rPr>
                <w:rStyle w:val="18"/>
              </w:rPr>
              <w:t>SDG Indicators — SDG Indicators (un.org)</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Calibri">
    <w:panose1 w:val="020F0502020204030204"/>
    <w:charset w:val="86"/>
    <w:family w:val="swiss"/>
    <w:pitch w:val="default"/>
    <w:sig w:usb0="E4002EFF" w:usb1="C000247B"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8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8295F"/>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3DA4"/>
    <w:rsid w:val="009A5BA4"/>
    <w:rsid w:val="009D6291"/>
    <w:rsid w:val="009D6F69"/>
    <w:rsid w:val="009E049D"/>
    <w:rsid w:val="009E0E28"/>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64AE"/>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380F4CCD"/>
    <w:rsid w:val="5D4E1E6C"/>
    <w:rsid w:val="68A5786F"/>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3"/>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uiPriority w:val="0"/>
    <w:rPr>
      <w:rFonts w:eastAsia="Times New Roman" w:cs="Times New Roman"/>
      <w:color w:val="1C75BC"/>
      <w:shd w:val="clear" w:color="auto" w:fill="F5F5F5"/>
      <w:lang w:val="en-GB" w:eastAsia="en-GB"/>
    </w:rPr>
  </w:style>
  <w:style w:type="character" w:customStyle="1" w:styleId="33">
    <w:name w:val="Header Char"/>
    <w:basedOn w:val="4"/>
    <w:link w:val="17"/>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uiPriority w:val="99"/>
  </w:style>
  <w:style w:type="character" w:customStyle="1" w:styleId="45">
    <w:name w:val="Unresolved Mention1"/>
    <w:basedOn w:val="4"/>
    <w:semiHidden/>
    <w:unhideWhenUsed/>
    <w:uiPriority w:val="99"/>
    <w:rPr>
      <w:color w:val="605E5C"/>
      <w:shd w:val="clear" w:color="auto" w:fill="E1DFDD"/>
    </w:rPr>
  </w:style>
  <w:style w:type="character" w:customStyle="1" w:styleId="46">
    <w:name w:val="Comment Text Char"/>
    <w:basedOn w:val="4"/>
    <w:link w:val="8"/>
    <w:semiHidden/>
    <w:uiPriority w:val="99"/>
    <w:rPr>
      <w:sz w:val="20"/>
      <w:szCs w:val="20"/>
    </w:rPr>
  </w:style>
  <w:style w:type="character" w:customStyle="1" w:styleId="47">
    <w:name w:val="Comment Subject Char"/>
    <w:basedOn w:val="46"/>
    <w:link w:val="9"/>
    <w:semiHidden/>
    <w:uiPriority w:val="99"/>
    <w:rPr>
      <w:b/>
      <w:bCs/>
      <w:sz w:val="20"/>
      <w:szCs w:val="20"/>
    </w:rPr>
  </w:style>
  <w:style w:type="character" w:styleId="48">
    <w:name w:val="Placeholder Text"/>
    <w:basedOn w:val="4"/>
    <w:semiHidden/>
    <w:uiPriority w:val="99"/>
    <w:rPr>
      <w:color w:val="808080"/>
    </w:rPr>
  </w:style>
  <w:style w:type="character" w:customStyle="1" w:styleId="49">
    <w:name w:val="Endnote Text Char"/>
    <w:basedOn w:val="4"/>
    <w:link w:val="11"/>
    <w:uiPriority w:val="99"/>
    <w:rPr>
      <w:sz w:val="20"/>
      <w:szCs w:val="20"/>
    </w:rPr>
  </w:style>
  <w:style w:type="character" w:customStyle="1" w:styleId="50">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uiPriority w:val="99"/>
    <w:rPr>
      <w:color w:val="605E5C"/>
      <w:shd w:val="clear" w:color="auto" w:fill="E1DFDD"/>
    </w:rPr>
  </w:style>
  <w:style w:type="character" w:customStyle="1" w:styleId="53">
    <w:name w:val="hidden-sm"/>
    <w:basedOn w:val="4"/>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5D47C4"/>
    <w:rsid w:val="006153AA"/>
    <w:rsid w:val="0064052E"/>
    <w:rsid w:val="00760A1F"/>
    <w:rsid w:val="00C95515"/>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215570</Words>
  <Characters>1228749</Characters>
  <Lines>10239</Lines>
  <Paragraphs>2882</Paragraphs>
  <TotalTime>0</TotalTime>
  <ScaleCrop>false</ScaleCrop>
  <LinksUpToDate>false</LinksUpToDate>
  <CharactersWithSpaces>1441437</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2021-10-18T10:51:00Z</dcterms:created>
  <dc:creator>Fanning, Stephen B (JMD)</dc:creator>
  <cp:lastModifiedBy>origi</cp:lastModifiedBy>
  <cp:lastPrinted>2020-04-16T14:23:00Z</cp:lastPrinted>
  <dcterms:modified xsi:type="dcterms:W3CDTF">2022-10-15T18:30:23Z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636553ED6B58440F9B4531B10E28A1E3</vt:lpwstr>
  </property>
</Properties>
</file>