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3.1.2 Proportion of births attended by skilled health personnel [3.1.2] (SH_STA_BRTC)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Style w:val="55"/>
              </w:rPr>
              <w:t>Target 3.1: By 2030, reduce the global maternal mortality ratio to less than 70 per 100,000 live births.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3.1.2: Proportion of births attended by sk</w:t>
            </w:r>
            <w:bookmarkStart w:id="38" w:name="_GoBack"/>
            <w:bookmarkEnd w:id="38"/>
            <w:r>
              <w:t>illed health personnel</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Homes deliveries by region and locality type</w:t>
            </w:r>
          </w:p>
          <w:p>
            <w:pPr>
              <w:rPr>
                <w:rFonts w:cstheme="minorHAnsi"/>
                <w:color w:val="0B0C0C"/>
                <w:shd w:val="clear" w:color="auto" w:fill="FFFFFF"/>
              </w:rPr>
            </w:pPr>
            <w:r>
              <w:rPr>
                <w:rFonts w:cstheme="minorHAnsi"/>
                <w:color w:val="0B0C0C"/>
                <w:shd w:val="clear" w:color="auto" w:fill="FFFFFF"/>
              </w:rPr>
              <w:t>Proportion of births attended by skilled health personnel</w:t>
            </w:r>
          </w:p>
          <w:p>
            <w:pPr>
              <w:rPr>
                <w:rFonts w:cstheme="minorHAnsi"/>
                <w:color w:val="0B0C0C"/>
                <w:shd w:val="clear" w:color="auto" w:fill="FFFFFF"/>
              </w:rPr>
            </w:pPr>
            <w:r>
              <w:rPr>
                <w:rFonts w:cstheme="minorHAnsi"/>
                <w:color w:val="0B0C0C"/>
                <w:shd w:val="clear" w:color="auto" w:fill="FFFFFF"/>
              </w:rPr>
              <w:t>Type of care received during Health facility delivery</w:t>
            </w:r>
          </w:p>
          <w:p>
            <w:r>
              <w:rPr>
                <w:rFonts w:cstheme="minorHAnsi"/>
                <w:color w:val="0B0C0C"/>
                <w:shd w:val="clear" w:color="auto" w:fill="FFFFFF"/>
              </w:rPr>
              <w:t>Type of care received during Home delivery</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r>
              <w:t>Related to Target 3.1 on reducing maternal mortality, 3.2 on reducing neonatal mortality and 3.8 on achieving universal health coverage (coverage of essential health services).</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Style w:val="55"/>
                <w:sz w:val="22"/>
                <w:szCs w:val="22"/>
              </w:rPr>
            </w:pPr>
            <w:r>
              <w:rPr>
                <w:rStyle w:val="55"/>
                <w:sz w:val="22"/>
                <w:szCs w:val="22"/>
              </w:rPr>
              <w:t>United Nations Children’s Fund (UNICEF) and World Health Organization (WHO) </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 (1) these are competent maternal and newborn health (MNH) professionals educated, trained and regulated to national and international standards. They are competent to: (i) provide and promote evidence-based, human-rights based, quality, socio-culturally sensitive and dignified care to women and newborns; (ii) facilitate physiological processes during labour and delivery to ensure a clean and positive childbirth experience; and (iii) identify and manage or refer women and/or newborns with complications.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w:t>
            </w:r>
            <w:r>
              <w:rPr>
                <w:rFonts w:ascii="Sitka Subheading" w:hAnsi="Sitka Subheading" w:eastAsia="Times New Roman" w:cs="Arial"/>
                <w:i/>
                <w:iCs/>
                <w:lang w:val="en-GB" w:eastAsia="en-GB"/>
              </w:rPr>
              <w:t xml:space="preserve"> </w:t>
            </w:r>
            <w:r>
              <w:rPr>
                <w:rFonts w:eastAsia="Times New Roman" w:cstheme="minorHAnsi"/>
                <w:lang w:val="en-GB" w:eastAsia="en-GB"/>
              </w:rPr>
              <w:t>Ghana Maternal and Health Survey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r>
              <w:rPr>
                <w:lang w:val="en-GB"/>
              </w:rP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 or long lasting morbidity</w:t>
            </w:r>
            <w:r>
              <w:t xml:space="preserve"> Achieving universal coverage for this indicator is therefore essential for reducing maternal and newborn mortality. </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bidi w:val="0"/>
            </w:pPr>
            <w:r>
              <w:t>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if needed. Neither does this indicator capture the quality of care received.</w:t>
            </w:r>
          </w:p>
          <w:p>
            <w:pPr>
              <w:bidi w:val="0"/>
            </w:pPr>
          </w:p>
          <w:p>
            <w:pPr>
              <w:bidi w:val="0"/>
            </w:pPr>
            <w:r>
              <w:t>Data collection and data interpretation in many countries is challenged by lack of guidelines, standardization of professional titles and functions of the health care provider, and in some countries by task-shifting. In addition, many countries have found that there are large gaps between international standards and the competencies of existing of health care professionals providing childbirth care. Lack of training and an enabling environment often hinder evidence based management of common obstetric and neonatal complications.</w:t>
            </w:r>
          </w:p>
          <w:p>
            <w:pPr>
              <w:bidi w:val="0"/>
            </w:pPr>
          </w:p>
          <w:p>
            <w:pPr>
              <w:bidi w:val="0"/>
            </w:pPr>
            <w:r>
              <w:t>The most commonly used denominator is the number of live births.</w:t>
            </w:r>
          </w:p>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number of live births in the preceding five years assisted by a doctor, midwife, nurse or community health nurse (skilled health provider) divided by total number of live births in the preceding five years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Helvetica" w:hAnsi="Helvetica" w:eastAsia="Helvetica" w:cs="Helvetica"/>
                <w:i w:val="0"/>
                <w:iCs w:val="0"/>
                <w:caps w:val="0"/>
                <w:color w:val="0B0C0C"/>
                <w:spacing w:val="0"/>
                <w:sz w:val="12"/>
                <w:szCs w:val="12"/>
                <w:shd w:val="clear" w:fill="FFFFFF"/>
                <w:lang w:val="en-US"/>
              </w:rPr>
            </w:pPr>
            <w:r>
              <w:rPr>
                <w:rFonts w:hint="default" w:eastAsia="Helvetica" w:cs="Helvetica" w:asciiTheme="minorAscii" w:hAnsiTheme="minorAscii"/>
                <w:i w:val="0"/>
                <w:iCs w:val="0"/>
                <w:caps w:val="0"/>
                <w:color w:val="0B0C0C"/>
                <w:spacing w:val="0"/>
                <w:sz w:val="22"/>
                <w:szCs w:val="22"/>
                <w:shd w:val="clear" w:fill="FFFFFF"/>
                <w:lang w:val="en-US"/>
              </w:rPr>
              <w:t xml:space="preserve">The data has been disaggregated by regions, urban and rural areas, and type of care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"https://view.officeapps.live.com/op/view.aspx?src=https%3A%2F%2Funstats.un.org%2Fsdgs%2Fmetadata%2Ffiles%2FMetadata-03-01-02.docx&amp;wdOrigin=BROWSELINK" </w:instrText>
            </w:r>
            <w:r>
              <w:fldChar w:fldCharType="separate"/>
            </w:r>
            <w:r>
              <w:rPr>
                <w:rStyle w:val="18"/>
              </w:rPr>
              <w:t>Metadata-03-01-02.docx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 w:val="4CA917F0"/>
    <w:rsid w:val="691B67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textrun"/>
    <w:basedOn w:val="4"/>
    <w:qFormat/>
    <w:uiPriority w:val="0"/>
  </w:style>
  <w:style w:type="character" w:customStyle="1" w:styleId="56">
    <w:name w:val="eop"/>
    <w:basedOn w:val="4"/>
    <w:qFormat/>
    <w:uiPriority w:val="0"/>
  </w:style>
  <w:style w:type="paragraph" w:customStyle="1" w:styleId="57">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215932</Words>
  <Characters>1230817</Characters>
  <Lines>10256</Lines>
  <Paragraphs>2887</Paragraphs>
  <TotalTime>4</TotalTime>
  <ScaleCrop>false</ScaleCrop>
  <LinksUpToDate>false</LinksUpToDate>
  <CharactersWithSpaces>1443862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2021-10-18T12:15:00Z</dcterms:created>
  <dc:creator>Fanning, Stephen B (JMD)</dc:creator>
  <cp:lastModifiedBy>origi</cp:lastModifiedBy>
  <cp:lastPrinted>2020-04-16T14:23:00Z</cp:lastPrinted>
  <dcterms:modified xsi:type="dcterms:W3CDTF">2022-10-15T21:11:51Z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41FF9C98818545F1ADAB3CF87B307A3F</vt:lpwstr>
  </property>
</Properties>
</file>