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rPr>
              <w:rFonts w:asciiTheme="minorHAnsi" w:hAnsiTheme="minorHAnsi" w:eastAsiaTheme="minorHAnsi" w:cstheme="minorBidi"/>
              <w:sz w:val="22"/>
              <w:szCs w:val="22"/>
              <w:lang w:val="en-US" w:eastAsia="en-US" w:bidi="ar-SA"/>
            </w:rP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rPr>
              <w:rFonts w:asciiTheme="minorHAnsi" w:hAnsiTheme="minorHAnsi" w:eastAsiaTheme="minorHAnsi" w:cstheme="minorBidi"/>
              <w:sz w:val="22"/>
              <w:szCs w:val="22"/>
              <w:lang w:val="en-US" w:eastAsia="en-US" w:bidi="ar-SA"/>
            </w:rPr>
            <w:t>8.9.1 Tourism direct GDP as a proportion of total GDP [8.9.1] (ST_GDP_ZS)</w:t>
          </w:r>
          <w:permEnd w:id="1"/>
        </w:p>
      </w:sdtContent>
    </w:sdt>
    <w:bookmarkEnd w:id="1"/>
    <w:p>
      <w:pPr>
        <w:spacing w:after="0"/>
        <w:rPr>
          <w:sz w:val="26"/>
          <w:szCs w:val="26"/>
        </w:rPr>
      </w:pPr>
    </w:p>
    <w:p>
      <w:pPr>
        <w:spacing w:after="0"/>
        <w:rPr>
          <w:sz w:val="26"/>
          <w:szCs w:val="26"/>
        </w:rPr>
      </w:pPr>
      <w:r>
        <w:rPr>
          <w:sz w:val="26"/>
          <w:szCs w:val="26"/>
        </w:rPr>
        <w:object>
          <v:shape id="_x0000_i1025" o:spt="201" alt=""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alt=""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rPr>
              <w:rFonts w:asciiTheme="minorHAnsi" w:hAnsiTheme="minorHAnsi" w:eastAsiaTheme="minorHAnsi" w:cstheme="minorBidi"/>
              <w:sz w:val="22"/>
              <w:szCs w:val="22"/>
              <w:lang w:val="en-US" w:eastAsia="en-US" w:bidi="ar-SA"/>
            </w:rP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rPr>
              <w:rFonts w:asciiTheme="minorHAnsi" w:hAnsiTheme="minorHAnsi" w:eastAsiaTheme="minorHAnsi" w:cstheme="minorBidi"/>
              <w:sz w:val="22"/>
              <w:szCs w:val="22"/>
              <w:lang w:val="en-US" w:eastAsia="en-US" w:bidi="ar-SA"/>
            </w:rP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alt=""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6812684"/>
            <w:bookmarkStart w:id="5" w:name="_Toc37932743"/>
            <w:bookmarkStart w:id="6" w:name="_Toc36812571"/>
            <w:bookmarkStart w:id="7" w:name="_Toc368130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r>
              <w:rPr>
                <w:rFonts w:hint="default" w:eastAsia="SimSun" w:cs="Times New Roman" w:asciiTheme="minorAscii" w:hAnsiTheme="minorAscii"/>
                <w:i w:val="0"/>
                <w:iCs w:val="0"/>
                <w:caps w:val="0"/>
                <w:color w:val="000000"/>
                <w:spacing w:val="0"/>
                <w:sz w:val="22"/>
                <w:szCs w:val="22"/>
              </w:rPr>
              <w:t>Goal 8: Promote sustained, inclusive and sustainable economic growth, full and productive employment and decent work for all</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r>
              <w:rPr>
                <w:rFonts w:hint="default" w:eastAsia="SimSun" w:cs="Times New Roman" w:asciiTheme="minorAscii" w:hAnsiTheme="minorAscii"/>
                <w:i w:val="0"/>
                <w:iCs w:val="0"/>
                <w:caps w:val="0"/>
                <w:color w:val="000000"/>
                <w:spacing w:val="0"/>
                <w:sz w:val="22"/>
                <w:szCs w:val="22"/>
              </w:rPr>
              <w:t>Target 8.9: By 2030, devise and implement policies to promote sustainable tourism that creates jobs and promotes local culture and products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r>
              <w:rPr>
                <w:rFonts w:hint="default" w:ascii="Calibri" w:hAnsi="Calibri" w:eastAsia="SimSun" w:cs="Calibri"/>
                <w:i w:val="0"/>
                <w:iCs w:val="0"/>
                <w:caps w:val="0"/>
                <w:color w:val="000000"/>
                <w:spacing w:val="0"/>
                <w:sz w:val="22"/>
                <w:szCs w:val="22"/>
              </w:rPr>
              <w:t>Indicator 8.9.1: Tourism dir</w:t>
            </w:r>
            <w:bookmarkStart w:id="38" w:name="_GoBack"/>
            <w:bookmarkEnd w:id="38"/>
            <w:r>
              <w:rPr>
                <w:rFonts w:hint="default" w:ascii="Calibri" w:hAnsi="Calibri" w:eastAsia="SimSun" w:cs="Calibri"/>
                <w:i w:val="0"/>
                <w:iCs w:val="0"/>
                <w:caps w:val="0"/>
                <w:color w:val="000000"/>
                <w:spacing w:val="0"/>
                <w:sz w:val="22"/>
                <w:szCs w:val="22"/>
              </w:rPr>
              <w:t>ect GDP as a proportion of total GDP and in growth rate</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Contribution of hotel and restaurant sub-sector to GDP</w:t>
            </w:r>
          </w:p>
          <w:p>
            <w:pPr>
              <w:rPr>
                <w:rFonts w:ascii="Helvetica" w:hAnsi="Helvetica" w:eastAsia="Helvetica" w:cs="Helvetica"/>
                <w:i w:val="0"/>
                <w:iCs w:val="0"/>
                <w:caps w:val="0"/>
                <w:color w:val="0B0C0C"/>
                <w:spacing w:val="0"/>
                <w:sz w:val="12"/>
                <w:szCs w:val="12"/>
                <w:shd w:val="clear" w:fill="FFFFFF"/>
              </w:rPr>
            </w:pPr>
            <w:r>
              <w:rPr>
                <w:rFonts w:hint="default" w:eastAsia="Helvetica" w:cs="Helvetica" w:asciiTheme="minorAscii" w:hAnsiTheme="minorAscii"/>
                <w:i w:val="0"/>
                <w:iCs w:val="0"/>
                <w:caps w:val="0"/>
                <w:color w:val="0B0C0C"/>
                <w:spacing w:val="0"/>
                <w:sz w:val="22"/>
                <w:szCs w:val="22"/>
                <w:shd w:val="clear" w:fill="FFFFFF"/>
              </w:rPr>
              <w:t>Growth rate of hotel and restaurant sub-sector</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r>
              <w:rPr>
                <w:rFonts w:hint="default" w:eastAsia="SimSun" w:cs="Times New Roman" w:asciiTheme="minorAscii" w:hAnsiTheme="minorAscii"/>
                <w:i w:val="0"/>
                <w:iCs w:val="0"/>
                <w:caps w:val="0"/>
                <w:color w:val="000000"/>
                <w:spacing w:val="0"/>
                <w:sz w:val="22"/>
                <w:szCs w:val="22"/>
              </w:rPr>
              <w:t>Indicator 12.b.1 Implementation of standard accounting tools to monitor the economic and environmental aspects of tourism sustainability</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r>
              <w:rPr>
                <w:rFonts w:hint="default" w:eastAsia="SimSun" w:cs="Times New Roman" w:asciiTheme="minorAscii" w:hAnsiTheme="minorAscii"/>
                <w:i w:val="0"/>
                <w:iCs w:val="0"/>
                <w:caps w:val="0"/>
                <w:color w:val="000000"/>
                <w:spacing w:val="0"/>
                <w:sz w:val="22"/>
                <w:szCs w:val="22"/>
              </w:rPr>
              <w:t>World Tourism Organization (UNWTO)</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3072"/>
            <w:bookmarkStart w:id="9" w:name="_Toc36655609"/>
            <w:bookmarkStart w:id="10" w:name="_Toc36812572"/>
            <w:bookmarkStart w:id="11" w:name="_Toc37932744"/>
            <w:bookmarkStart w:id="12" w:name="_Toc36812685"/>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lang w:val="en-US"/>
              </w:rPr>
            </w:pPr>
            <w:r>
              <w:rPr>
                <w:rFonts w:hint="default"/>
                <w:lang w:val="en-US"/>
              </w:rPr>
              <w:t>Ghana Statistical Service</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573"/>
            <w:bookmarkStart w:id="14" w:name="_Toc36812686"/>
            <w:bookmarkStart w:id="15" w:name="_Toc36813073"/>
            <w:bookmarkStart w:id="16" w:name="_Toc37932745"/>
            <w:bookmarkStart w:id="17" w:name="_Toc36655610"/>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19"/>
              <w:keepNext w:val="0"/>
              <w:keepLines w:val="0"/>
              <w:widowControl/>
              <w:suppressLineNumbers w:val="0"/>
              <w:ind w:left="0" w:firstLine="0"/>
              <w:rPr>
                <w:rFonts w:hint="default" w:cs="Times New Roman" w:asciiTheme="minorAscii" w:hAnsiTheme="minorAscii"/>
                <w:i w:val="0"/>
                <w:iCs w:val="0"/>
                <w:caps w:val="0"/>
                <w:color w:val="000000"/>
                <w:spacing w:val="0"/>
                <w:sz w:val="22"/>
                <w:szCs w:val="22"/>
              </w:rPr>
            </w:pPr>
            <w:r>
              <w:rPr>
                <w:rFonts w:hint="default" w:cs="Times New Roman" w:asciiTheme="minorAscii" w:hAnsiTheme="minorAscii"/>
                <w:b/>
                <w:bCs/>
                <w:i w:val="0"/>
                <w:iCs w:val="0"/>
                <w:caps w:val="0"/>
                <w:color w:val="000000"/>
                <w:spacing w:val="0"/>
                <w:sz w:val="22"/>
                <w:szCs w:val="22"/>
              </w:rPr>
              <w:t>Definition:</w:t>
            </w:r>
          </w:p>
          <w:p>
            <w:pPr>
              <w:pStyle w:val="19"/>
              <w:keepNext w:val="0"/>
              <w:keepLines w:val="0"/>
              <w:widowControl/>
              <w:suppressLineNumbers w:val="0"/>
              <w:ind w:left="0" w:firstLine="0"/>
              <w:rPr>
                <w:rFonts w:hint="default" w:cs="Times New Roman" w:asciiTheme="minorAscii" w:hAnsiTheme="minorAscii"/>
                <w:i w:val="0"/>
                <w:iCs w:val="0"/>
                <w:caps w:val="0"/>
                <w:color w:val="000000"/>
                <w:spacing w:val="0"/>
                <w:sz w:val="22"/>
                <w:szCs w:val="22"/>
              </w:rPr>
            </w:pPr>
            <w:r>
              <w:rPr>
                <w:rFonts w:hint="default" w:cs="Times New Roman" w:asciiTheme="minorAscii" w:hAnsiTheme="minorAscii"/>
                <w:i w:val="0"/>
                <w:iCs w:val="0"/>
                <w:caps w:val="0"/>
                <w:color w:val="000000"/>
                <w:spacing w:val="0"/>
                <w:sz w:val="22"/>
                <w:szCs w:val="22"/>
              </w:rPr>
              <w:t>Tourism Direct GDP (TDGDP) is defined as the sum of the part of gross value added (at basic prices) generated by all industries in response to internal tourism consumption plus the amount of net taxes on products and imports included within the value of this expenditure at purchasers’ prices. The indicator relies on the Tourism Satellite Account: Recommended Methodological Framework 2008, an international</w:t>
            </w:r>
          </w:p>
          <w:p>
            <w:pPr>
              <w:pStyle w:val="19"/>
              <w:keepNext w:val="0"/>
              <w:keepLines w:val="0"/>
              <w:widowControl/>
              <w:suppressLineNumbers w:val="0"/>
              <w:ind w:left="0" w:firstLine="0"/>
              <w:rPr>
                <w:rFonts w:hint="default" w:cs="Times New Roman" w:asciiTheme="minorAscii" w:hAnsiTheme="minorAscii"/>
                <w:i w:val="0"/>
                <w:iCs w:val="0"/>
                <w:caps w:val="0"/>
                <w:color w:val="000000"/>
                <w:spacing w:val="0"/>
                <w:sz w:val="22"/>
                <w:szCs w:val="22"/>
              </w:rPr>
            </w:pPr>
            <w:r>
              <w:rPr>
                <w:rFonts w:hint="default" w:cs="Times New Roman" w:asciiTheme="minorAscii" w:hAnsiTheme="minorAscii"/>
                <w:i w:val="0"/>
                <w:iCs w:val="0"/>
                <w:caps w:val="0"/>
                <w:color w:val="000000"/>
                <w:spacing w:val="0"/>
                <w:sz w:val="22"/>
                <w:szCs w:val="22"/>
              </w:rPr>
              <w:t>standard adopted by the UN Statistical Commission and led by UNWTO, Organisation for Economic Co-operation and Development (OECD) and EUROSTAT.</w:t>
            </w:r>
          </w:p>
          <w:p>
            <w:pPr>
              <w:pStyle w:val="19"/>
              <w:keepNext w:val="0"/>
              <w:keepLines w:val="0"/>
              <w:widowControl/>
              <w:suppressLineNumbers w:val="0"/>
              <w:ind w:left="0" w:firstLine="0"/>
              <w:rPr>
                <w:rFonts w:hint="default" w:cs="Times New Roman" w:asciiTheme="minorAscii" w:hAnsiTheme="minorAscii"/>
                <w:b/>
                <w:bCs/>
                <w:i w:val="0"/>
                <w:iCs w:val="0"/>
                <w:caps w:val="0"/>
                <w:color w:val="000000"/>
                <w:spacing w:val="0"/>
                <w:sz w:val="22"/>
                <w:szCs w:val="22"/>
              </w:rPr>
            </w:pPr>
            <w:r>
              <w:rPr>
                <w:rFonts w:hint="default" w:cs="Times New Roman" w:asciiTheme="minorAscii" w:hAnsiTheme="minorAscii"/>
                <w:b/>
                <w:bCs/>
                <w:i w:val="0"/>
                <w:iCs w:val="0"/>
                <w:caps w:val="0"/>
                <w:color w:val="000000"/>
                <w:spacing w:val="0"/>
                <w:sz w:val="22"/>
                <w:szCs w:val="22"/>
              </w:rPr>
              <w:t>Concepts:</w:t>
            </w:r>
          </w:p>
          <w:p>
            <w:pPr>
              <w:pStyle w:val="19"/>
              <w:keepNext w:val="0"/>
              <w:keepLines w:val="0"/>
              <w:widowControl/>
              <w:suppressLineNumbers w:val="0"/>
              <w:ind w:left="0" w:firstLine="0"/>
              <w:rPr>
                <w:rFonts w:hint="default" w:cs="Times New Roman" w:asciiTheme="minorAscii" w:hAnsiTheme="minorAscii"/>
                <w:i w:val="0"/>
                <w:iCs w:val="0"/>
                <w:caps w:val="0"/>
                <w:color w:val="000000"/>
                <w:spacing w:val="0"/>
                <w:sz w:val="22"/>
                <w:szCs w:val="22"/>
              </w:rPr>
            </w:pPr>
            <w:r>
              <w:rPr>
                <w:rFonts w:hint="default" w:cs="Times New Roman" w:asciiTheme="minorAscii" w:hAnsiTheme="minorAscii"/>
                <w:i w:val="0"/>
                <w:iCs w:val="0"/>
                <w:caps w:val="0"/>
                <w:color w:val="000000"/>
                <w:spacing w:val="0"/>
                <w:sz w:val="22"/>
                <w:szCs w:val="22"/>
              </w:rPr>
              <w:t>Tourism direct gross value added (TDGVA) is the part of gross value added generated by tourism industries and other industries of the economy that directly serve visitors in response to internal tourism consumption.</w:t>
            </w:r>
          </w:p>
          <w:p>
            <w:pPr>
              <w:pStyle w:val="19"/>
              <w:keepNext w:val="0"/>
              <w:keepLines w:val="0"/>
              <w:widowControl/>
              <w:suppressLineNumbers w:val="0"/>
              <w:ind w:left="0" w:firstLine="0"/>
              <w:rPr>
                <w:rFonts w:hint="default" w:cs="Times New Roman" w:asciiTheme="minorAscii" w:hAnsiTheme="minorAscii"/>
                <w:i w:val="0"/>
                <w:iCs w:val="0"/>
                <w:caps w:val="0"/>
                <w:color w:val="000000"/>
                <w:spacing w:val="0"/>
                <w:sz w:val="22"/>
                <w:szCs w:val="22"/>
              </w:rPr>
            </w:pPr>
            <w:r>
              <w:rPr>
                <w:rFonts w:hint="default" w:cs="Times New Roman" w:asciiTheme="minorAscii" w:hAnsiTheme="minorAscii"/>
                <w:i w:val="0"/>
                <w:iCs w:val="0"/>
                <w:caps w:val="0"/>
                <w:color w:val="000000"/>
                <w:spacing w:val="0"/>
                <w:sz w:val="22"/>
                <w:szCs w:val="22"/>
              </w:rPr>
              <w:t>Gross Domestic Product (GDP): It is the main measure of national output, representing the total value of all final goods and services within the System of National Accounts (SNA) production boundary produced in a particular economy (that is, the dollar value of all goods and services within the SNA production boundary produced within a country’s borders in a given year). According to the SNA, “GDP is the sum of gross value added of all resident producer units plus that part (possibly the total) of taxes on products, less subsidies on products, that is not included in the valuation of output. GDP is also equal to the sum of the final uses of goods and services (all uses except intermediate consumption) measured at purchasers’ prices, less the value of imports of goods and services. GDP is also equal to the sum of primary incomes distributed by resident producer units.”</w:t>
            </w:r>
          </w:p>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US"/>
              </w:rPr>
            </w:pPr>
            <w:r>
              <w:rPr>
                <w:rFonts w:hint="default"/>
                <w:lang w:val="en-US"/>
              </w:rPr>
              <w:t>Percent</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lang w:val="en-US"/>
              </w:rPr>
            </w:pPr>
            <w:r>
              <w:rPr>
                <w:rFonts w:hint="default"/>
                <w:lang w:val="en-US"/>
              </w:rPr>
              <w:t>National Accounts, 2022</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rPr>
                <w:rFonts w:hint="default"/>
                <w:lang w:val="en-US"/>
              </w:rPr>
              <w:t>Ghana Statistical Service</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r>
              <w:rPr>
                <w:rFonts w:hint="default"/>
                <w:lang w:val="en-US"/>
              </w:rPr>
              <w:t>Ghana Statistical Service</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575"/>
            <w:bookmarkStart w:id="21" w:name="_Toc36655612"/>
            <w:bookmarkStart w:id="22" w:name="_Toc36812688"/>
            <w:bookmarkStart w:id="23" w:name="_Toc36813075"/>
            <w:bookmarkStart w:id="24" w:name="_Toc37932747"/>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keepNext w:val="0"/>
              <w:keepLines w:val="0"/>
              <w:widowControl/>
              <w:suppressLineNumbers w:val="0"/>
              <w:ind w:left="0" w:firstLine="0"/>
              <w:rPr>
                <w:rFonts w:hint="default" w:cs="Times New Roman" w:asciiTheme="minorAscii" w:hAnsiTheme="minorAscii"/>
                <w:i w:val="0"/>
                <w:iCs w:val="0"/>
                <w:caps w:val="0"/>
                <w:color w:val="000000"/>
                <w:spacing w:val="0"/>
                <w:sz w:val="22"/>
                <w:szCs w:val="22"/>
              </w:rPr>
            </w:pPr>
            <w:r>
              <w:rPr>
                <w:rFonts w:hint="default" w:cs="Times New Roman" w:asciiTheme="minorAscii" w:hAnsiTheme="minorAscii"/>
                <w:i w:val="0"/>
                <w:iCs w:val="0"/>
                <w:caps w:val="0"/>
                <w:color w:val="000000"/>
                <w:spacing w:val="0"/>
                <w:sz w:val="22"/>
                <w:szCs w:val="22"/>
              </w:rPr>
              <w:t>Target 8.9 has several dimensions and indicator 8.9.1 caters to the core intention of the target which calls to “promote sustainable tourism”. While sustainable tourism is multidimensional in itself (with economic, social and environmental aspects), the economic contribution of tourism captured by this indicator, and (relative) increases or decreases in it, indicates the degree to which tourism is being successfully promoted. Ideally, this indicator needs to be complemented with additional indicators on the social (e.g. employment, etc.) and environmental (energy use, GHG emissions, etc.) aspects of tourism that can be disaggregated to provide a more complete picture of the promotion of sustainable tourism and thus the monitoring of this target.</w:t>
            </w:r>
          </w:p>
          <w:p>
            <w:pPr>
              <w:pStyle w:val="19"/>
              <w:keepNext w:val="0"/>
              <w:keepLines w:val="0"/>
              <w:widowControl/>
              <w:suppressLineNumbers w:val="0"/>
              <w:ind w:left="0" w:firstLine="0"/>
              <w:rPr>
                <w:rFonts w:hint="default" w:ascii="Times New Roman" w:hAnsi="Times New Roman" w:cs="Times New Roman"/>
                <w:i w:val="0"/>
                <w:iCs w:val="0"/>
                <w:caps w:val="0"/>
                <w:color w:val="000000"/>
                <w:spacing w:val="0"/>
                <w:sz w:val="27"/>
                <w:szCs w:val="27"/>
              </w:rPr>
            </w:pPr>
            <w:r>
              <w:rPr>
                <w:rFonts w:hint="default" w:cs="Times New Roman" w:asciiTheme="minorAscii" w:hAnsiTheme="minorAscii"/>
                <w:i w:val="0"/>
                <w:iCs w:val="0"/>
                <w:caps w:val="0"/>
                <w:color w:val="000000"/>
                <w:spacing w:val="0"/>
                <w:sz w:val="22"/>
                <w:szCs w:val="22"/>
              </w:rPr>
              <w:t>This indicator is useful for policy on tourism at international, national level and the level of sub-national regions as it provides a measure of the economic contribution of tourism which can be compared over time, across countries, to total GDP and to the GDP contributions of other economic activities. Tourism Direct GDP includes the contributions from all forms of tourism—inbound tourism, domestic tourism and outbound tourism—in line with the International Recommendations for Tourism Statistics 2008 (IRTS 2008). The indicator has been found especially useful in raising awareness of the economic importance of tourism and making the case for a more proactive, sustainable management of a sector that is often overlooked in policy agendas at all levels.</w:t>
            </w:r>
          </w:p>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689"/>
            <w:bookmarkStart w:id="26" w:name="_Toc36813076"/>
            <w:bookmarkStart w:id="27" w:name="_Toc36655613"/>
            <w:bookmarkStart w:id="28" w:name="_Toc36812576"/>
            <w:bookmarkStart w:id="29" w:name="_Toc37932748"/>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US"/>
              </w:rPr>
            </w:pPr>
            <w:r>
              <w:rPr>
                <w:rFonts w:hint="default"/>
                <w:lang w:val="en-US"/>
              </w:rPr>
              <w:t>The data has no disaggregation</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rPr>
                <w:rFonts w:hint="default" w:eastAsia="SimSun" w:cs="SimSun" w:asciiTheme="minorAscii" w:hAnsiTheme="minorAscii"/>
                <w:sz w:val="22"/>
                <w:szCs w:val="22"/>
              </w:rPr>
              <w:fldChar w:fldCharType="begin"/>
            </w:r>
            <w:r>
              <w:rPr>
                <w:rFonts w:hint="default" w:eastAsia="SimSun" w:cs="SimSun" w:asciiTheme="minorAscii" w:hAnsiTheme="minorAscii"/>
                <w:sz w:val="22"/>
                <w:szCs w:val="22"/>
              </w:rPr>
              <w:instrText xml:space="preserve"> HYPERLINK "https://unstats.un.org/sdgs/metadata/" </w:instrText>
            </w:r>
            <w:r>
              <w:rPr>
                <w:rFonts w:hint="default" w:eastAsia="SimSun" w:cs="SimSun" w:asciiTheme="minorAscii" w:hAnsiTheme="minorAscii"/>
                <w:sz w:val="22"/>
                <w:szCs w:val="22"/>
              </w:rPr>
              <w:fldChar w:fldCharType="separate"/>
            </w:r>
            <w:r>
              <w:rPr>
                <w:rStyle w:val="18"/>
                <w:rFonts w:hint="default" w:eastAsia="SimSun" w:cs="SimSun" w:asciiTheme="minorAscii" w:hAnsiTheme="minorAscii"/>
                <w:sz w:val="22"/>
                <w:szCs w:val="22"/>
              </w:rPr>
              <w:t>SDG Indicators — SDG Indicators (un.org)</w:t>
            </w:r>
            <w:r>
              <w:rPr>
                <w:rFonts w:hint="default" w:eastAsia="SimSun" w:cs="SimSun" w:asciiTheme="minorAscii" w:hAnsiTheme="minorAscii"/>
                <w:sz w:val="22"/>
                <w:szCs w:val="22"/>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Segoe UI">
    <w:panose1 w:val="020B0502040204020203"/>
    <w:charset w:val="00"/>
    <w:family w:val="swiss"/>
    <w:pitch w:val="default"/>
    <w:sig w:usb0="E4002EFF" w:usb1="C000E47F" w:usb2="00000009" w:usb3="00000000" w:csb0="200001FF" w:csb1="00000000"/>
  </w:font>
  <w:font w:name="Vivaldi">
    <w:panose1 w:val="03020602050506090804"/>
    <w:charset w:val="00"/>
    <w:family w:val="auto"/>
    <w:pitch w:val="default"/>
    <w:sig w:usb0="00000003" w:usb1="00000000" w:usb2="00000000" w:usb3="00000000" w:csb0="20000001" w:csb1="00000000"/>
  </w:font>
  <w:font w:name="Tw Cen MT Condensed Extra Bold">
    <w:panose1 w:val="020B0803020202020204"/>
    <w:charset w:val="00"/>
    <w:family w:val="auto"/>
    <w:pitch w:val="default"/>
    <w:sig w:usb0="00000003" w:usb1="00000000" w:usb2="00000000" w:usb3="00000000" w:csb0="20000003" w:csb1="00000000"/>
  </w:font>
  <w:font w:name="Tempus Sans ITC">
    <w:panose1 w:val="04020404030D07020202"/>
    <w:charset w:val="00"/>
    <w:family w:val="auto"/>
    <w:pitch w:val="default"/>
    <w:sig w:usb0="00000003" w:usb1="00000000" w:usb2="00000000" w:usb3="00000000" w:csb0="20000001" w:csb1="00000000"/>
  </w:font>
  <w:font w:name="Sylfaen">
    <w:panose1 w:val="010A0502050306030303"/>
    <w:charset w:val="00"/>
    <w:family w:val="auto"/>
    <w:pitch w:val="default"/>
    <w:sig w:usb0="04000687" w:usb1="00000000" w:usb2="00000000" w:usb3="00000000" w:csb0="2000009F" w:csb1="00000000"/>
  </w:font>
  <w:font w:name="Trebuchet MS">
    <w:panose1 w:val="020B0603020202020204"/>
    <w:charset w:val="00"/>
    <w:family w:val="auto"/>
    <w:pitch w:val="default"/>
    <w:sig w:usb0="00000687" w:usb1="00000000" w:usb2="00000000" w:usb3="00000000" w:csb0="2000009F" w:csb1="00000000"/>
  </w:font>
  <w:font w:name="Helvetica">
    <w:altName w:val="Arial"/>
    <w:panose1 w:val="00000000000000000000"/>
    <w:charset w:val="00"/>
    <w:family w:val="auto"/>
    <w:pitch w:val="default"/>
    <w:sig w:usb0="00000000" w:usb1="00000000" w:usb2="00000000" w:usb3="00000000" w:csb0="00000000" w:csb1="00000000"/>
  </w:font>
  <w:font w:name="Stencil">
    <w:panose1 w:val="040409050D0802020404"/>
    <w:charset w:val="00"/>
    <w:family w:val="auto"/>
    <w:pitch w:val="default"/>
    <w:sig w:usb0="00000003" w:usb1="00000000" w:usb2="00000000" w:usb3="00000000" w:csb0="20000001" w:csb1="00000000"/>
  </w:font>
  <w:font w:name="Sitka Text Semibold">
    <w:panose1 w:val="00000000000000000000"/>
    <w:charset w:val="00"/>
    <w:family w:val="auto"/>
    <w:pitch w:val="default"/>
    <w:sig w:usb0="A00002EF" w:usb1="4000204B" w:usb2="00000000" w:usb3="00000000" w:csb0="2000019F" w:csb1="00000000"/>
  </w:font>
  <w:font w:name="Sitka Small">
    <w:panose1 w:val="00000000000000000000"/>
    <w:charset w:val="00"/>
    <w:family w:val="auto"/>
    <w:pitch w:val="default"/>
    <w:sig w:usb0="A00002EF" w:usb1="4000204B" w:usb2="00000000" w:usb3="00000000" w:csb0="2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75"/>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2C6C4731"/>
    <w:rsid w:val="3BF8170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semiHidden="0" w:name="toc 1"/>
    <w:lsdException w:uiPriority="39" w:semiHidden="0" w:name="toc 2"/>
    <w:lsdException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uiPriority="99" w:name="annotation text"/>
    <w:lsdException w:uiPriority="99" w:semiHidden="0" w:name="header"/>
    <w:lsdException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uiPriority="99" w:name="annotation reference"/>
    <w:lsdException w:uiPriority="99" w:name="line number"/>
    <w:lsdException w:uiPriority="99" w:name="page number"/>
    <w:lsdException w:uiPriority="99" w:name="endnote reference"/>
    <w:lsdException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semiHidden="0"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unhideWhenUsed="0" w:uiPriority="59" w:semiHidden="0" w:name="Table Grid"/>
    <w:lsdException w:uiPriority="99" w:name="Table Theme"/>
    <w:lsdException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4"/>
    <w:semiHidden/>
    <w:unhideWhenUsed/>
    <w:uiPriority w:val="99"/>
    <w:pPr>
      <w:spacing w:after="0" w:line="240" w:lineRule="auto"/>
    </w:pPr>
    <w:rPr>
      <w:rFonts w:ascii="Segoe UI" w:hAnsi="Segoe UI" w:cs="Segoe UI"/>
      <w:sz w:val="18"/>
      <w:szCs w:val="18"/>
    </w:rPr>
  </w:style>
  <w:style w:type="character" w:styleId="7">
    <w:name w:val="annotation reference"/>
    <w:basedOn w:val="4"/>
    <w:semiHidden/>
    <w:unhideWhenUsed/>
    <w:uiPriority w:val="99"/>
    <w:rPr>
      <w:sz w:val="16"/>
      <w:szCs w:val="16"/>
    </w:rPr>
  </w:style>
  <w:style w:type="paragraph" w:styleId="8">
    <w:name w:val="annotation text"/>
    <w:basedOn w:val="1"/>
    <w:link w:val="47"/>
    <w:semiHidden/>
    <w:unhideWhenUsed/>
    <w:uiPriority w:val="99"/>
    <w:pPr>
      <w:spacing w:line="240" w:lineRule="auto"/>
    </w:pPr>
    <w:rPr>
      <w:sz w:val="20"/>
      <w:szCs w:val="20"/>
    </w:rPr>
  </w:style>
  <w:style w:type="paragraph" w:styleId="9">
    <w:name w:val="annotation subject"/>
    <w:basedOn w:val="8"/>
    <w:next w:val="8"/>
    <w:link w:val="48"/>
    <w:semiHidden/>
    <w:unhideWhenUsed/>
    <w:uiPriority w:val="99"/>
    <w:rPr>
      <w:b/>
      <w:bCs/>
    </w:rPr>
  </w:style>
  <w:style w:type="character" w:styleId="10">
    <w:name w:val="endnote reference"/>
    <w:basedOn w:val="4"/>
    <w:semiHidden/>
    <w:unhideWhenUsed/>
    <w:uiPriority w:val="99"/>
    <w:rPr>
      <w:vertAlign w:val="superscript"/>
    </w:rPr>
  </w:style>
  <w:style w:type="paragraph" w:styleId="11">
    <w:name w:val="endnote text"/>
    <w:basedOn w:val="1"/>
    <w:link w:val="50"/>
    <w:unhideWhenUsed/>
    <w:uiPriority w:val="99"/>
    <w:pPr>
      <w:spacing w:after="0" w:line="240" w:lineRule="auto"/>
    </w:pPr>
    <w:rPr>
      <w:sz w:val="20"/>
      <w:szCs w:val="20"/>
    </w:rPr>
  </w:style>
  <w:style w:type="character" w:styleId="12">
    <w:name w:val="FollowedHyperlink"/>
    <w:basedOn w:val="4"/>
    <w:semiHidden/>
    <w:unhideWhenUsed/>
    <w:uiPriority w:val="99"/>
    <w:rPr>
      <w:color w:val="954F72" w:themeColor="followedHyperlink"/>
      <w:u w:val="single"/>
      <w14:textFill>
        <w14:solidFill>
          <w14:schemeClr w14:val="folHlink"/>
        </w14:solidFill>
      </w14:textFill>
    </w:rPr>
  </w:style>
  <w:style w:type="paragraph" w:styleId="13">
    <w:name w:val="footer"/>
    <w:basedOn w:val="1"/>
    <w:link w:val="45"/>
    <w:unhideWhenUsed/>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uiPriority w:val="99"/>
    <w:pPr>
      <w:spacing w:line="240" w:lineRule="exact"/>
      <w:jc w:val="both"/>
    </w:pPr>
    <w:rPr>
      <w:vertAlign w:val="superscript"/>
    </w:rPr>
  </w:style>
  <w:style w:type="paragraph" w:styleId="16">
    <w:name w:val="footnote text"/>
    <w:basedOn w:val="1"/>
    <w:link w:val="42"/>
    <w:semiHidden/>
    <w:unhideWhenUsed/>
    <w:uiPriority w:val="99"/>
    <w:pPr>
      <w:spacing w:after="0" w:line="240" w:lineRule="auto"/>
    </w:pPr>
    <w:rPr>
      <w:rFonts w:eastAsiaTheme="minorEastAsia"/>
      <w:sz w:val="20"/>
      <w:szCs w:val="20"/>
      <w:lang w:val="en-GB" w:eastAsia="zh-CN"/>
    </w:rPr>
  </w:style>
  <w:style w:type="paragraph" w:styleId="17">
    <w:name w:val="header"/>
    <w:basedOn w:val="1"/>
    <w:link w:val="34"/>
    <w:unhideWhenUsed/>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uiPriority w:val="99"/>
    <w:rPr>
      <w:color w:val="0563C1" w:themeColor="hyperlink"/>
      <w:u w:val="single"/>
      <w14:textFill>
        <w14:solidFill>
          <w14:schemeClr w14:val="hlink"/>
        </w14:solidFill>
      </w14:textFill>
    </w:rPr>
  </w:style>
  <w:style w:type="paragraph" w:styleId="19">
    <w:name w:val="Normal (Web)"/>
    <w:semiHidden/>
    <w:unhideWhenUsed/>
    <w:uiPriority w:val="99"/>
    <w:pPr>
      <w:spacing w:before="0" w:beforeAutospacing="1" w:after="0" w:afterAutospacing="1"/>
      <w:ind w:left="0" w:right="0"/>
      <w:jc w:val="left"/>
    </w:pPr>
    <w:rPr>
      <w:kern w:val="0"/>
      <w:sz w:val="24"/>
      <w:szCs w:val="24"/>
      <w:lang w:val="en-US" w:eastAsia="zh-CN" w:bidi="ar"/>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uiPriority w:val="39"/>
    <w:pPr>
      <w:spacing w:after="100"/>
    </w:pPr>
  </w:style>
  <w:style w:type="paragraph" w:styleId="24">
    <w:name w:val="toc 2"/>
    <w:basedOn w:val="1"/>
    <w:next w:val="1"/>
    <w:unhideWhenUsed/>
    <w:uiPriority w:val="39"/>
    <w:pPr>
      <w:spacing w:after="100"/>
      <w:ind w:left="220"/>
    </w:pPr>
  </w:style>
  <w:style w:type="paragraph" w:styleId="25">
    <w:name w:val="toc 3"/>
    <w:basedOn w:val="1"/>
    <w:next w:val="1"/>
    <w:unhideWhenUsed/>
    <w:uiPriority w:val="39"/>
    <w:pPr>
      <w:spacing w:after="100"/>
      <w:ind w:left="440"/>
    </w:pPr>
  </w:style>
  <w:style w:type="character" w:customStyle="1" w:styleId="26">
    <w:name w:val="Heading 1 Char"/>
    <w:basedOn w:val="4"/>
    <w:link w:val="2"/>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uiPriority w:val="0"/>
    <w:rPr>
      <w:rFonts w:eastAsia="Times New Roman" w:cs="Times New Roman"/>
      <w:color w:val="1C75BC"/>
      <w:shd w:val="clear" w:color="auto" w:fill="F5F5F5"/>
      <w:lang w:val="en-GB" w:eastAsia="en-GB"/>
    </w:rPr>
  </w:style>
  <w:style w:type="character" w:customStyle="1" w:styleId="34">
    <w:name w:val="Header Char"/>
    <w:basedOn w:val="4"/>
    <w:link w:val="17"/>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uiPriority w:val="99"/>
    <w:rPr>
      <w:rFonts w:ascii="Segoe UI" w:hAnsi="Segoe UI" w:cs="Segoe UI"/>
      <w:sz w:val="18"/>
      <w:szCs w:val="18"/>
    </w:rPr>
  </w:style>
  <w:style w:type="character" w:customStyle="1" w:styleId="45">
    <w:name w:val="Footer Char"/>
    <w:basedOn w:val="4"/>
    <w:link w:val="13"/>
    <w:uiPriority w:val="99"/>
  </w:style>
  <w:style w:type="character" w:customStyle="1" w:styleId="46">
    <w:name w:val="Unresolved Mention1"/>
    <w:basedOn w:val="4"/>
    <w:semiHidden/>
    <w:unhideWhenUsed/>
    <w:uiPriority w:val="99"/>
    <w:rPr>
      <w:color w:val="605E5C"/>
      <w:shd w:val="clear" w:color="auto" w:fill="E1DFDD"/>
    </w:rPr>
  </w:style>
  <w:style w:type="character" w:customStyle="1" w:styleId="47">
    <w:name w:val="Comment Text Char"/>
    <w:basedOn w:val="4"/>
    <w:link w:val="8"/>
    <w:semiHidden/>
    <w:uiPriority w:val="99"/>
    <w:rPr>
      <w:sz w:val="20"/>
      <w:szCs w:val="20"/>
    </w:rPr>
  </w:style>
  <w:style w:type="character" w:customStyle="1" w:styleId="48">
    <w:name w:val="Comment Subject Char"/>
    <w:basedOn w:val="47"/>
    <w:link w:val="9"/>
    <w:semiHidden/>
    <w:uiPriority w:val="99"/>
    <w:rPr>
      <w:b/>
      <w:bCs/>
      <w:sz w:val="20"/>
      <w:szCs w:val="20"/>
    </w:rPr>
  </w:style>
  <w:style w:type="character" w:styleId="49">
    <w:name w:val="Placeholder Text"/>
    <w:basedOn w:val="4"/>
    <w:semiHidden/>
    <w:uiPriority w:val="99"/>
    <w:rPr>
      <w:color w:val="808080"/>
    </w:rPr>
  </w:style>
  <w:style w:type="character" w:customStyle="1" w:styleId="50">
    <w:name w:val="Endnote Text Char"/>
    <w:basedOn w:val="4"/>
    <w:link w:val="11"/>
    <w:uiPriority w:val="99"/>
    <w:rPr>
      <w:sz w:val="20"/>
      <w:szCs w:val="20"/>
    </w:rPr>
  </w:style>
  <w:style w:type="character" w:customStyle="1" w:styleId="51">
    <w:name w:val="Heading 2 Char"/>
    <w:basedOn w:val="4"/>
    <w:link w:val="3"/>
    <w:uiPriority w:val="9"/>
    <w:rPr>
      <w:rFonts w:asciiTheme="majorHAnsi" w:hAnsiTheme="majorHAnsi" w:eastAsiaTheme="majorEastAsia" w:cstheme="majorBidi"/>
      <w:color w:val="2E75B6" w:themeColor="accent1" w:themeShade="BF"/>
      <w:sz w:val="26"/>
      <w:szCs w:val="26"/>
    </w:rPr>
  </w:style>
  <w:style w:type="paragraph" w:customStyle="1" w:styleId="52">
    <w:name w:val="Defaul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3.bin"/></Relationships>
</file>

<file path=word/activeX/_rels/activeX2.xml.rels><?xml version="1.0" encoding="UTF-8" standalone="yes"?>
<Relationships xmlns="http://schemas.openxmlformats.org/package/2006/relationships"><Relationship Id="rId1" Type="http://schemas.microsoft.com/office/2006/relationships/activeXControlBinary" Target="activeX4.bin"/></Relationships>
</file>

<file path=word/activeX/_rels/activeX3.xml.rels><?xml version="1.0" encoding="UTF-8" standalone="yes"?>
<Relationships xmlns="http://schemas.openxmlformats.org/package/2006/relationships"><Relationship Id="rId1" Type="http://schemas.microsoft.com/office/2006/relationships/activeXControlBinary" Target="activeX2.bin"/></Relationships>
</file>

<file path=word/activeX/_rels/activeX4.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10</Pages>
  <Words>215350</Words>
  <Characters>1227499</Characters>
  <Lines>10229</Lines>
  <Paragraphs>2879</Paragraphs>
  <TotalTime>6</TotalTime>
  <ScaleCrop>false</ScaleCrop>
  <LinksUpToDate>false</LinksUpToDate>
  <CharactersWithSpaces>1439970</CharactersWithSpaces>
  <Application>WPS Office_11.2.0.11341_F1E327BC-269C-435d-A152-05C5408002CA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origi</cp:lastModifiedBy>
  <cp:lastPrinted>2020-04-16T14:23:00Z</cp:lastPrinted>
  <dcterms:modified xsi:type="dcterms:W3CDTF">2022-10-03T02:05:50Z</dcterms:modified>
  <cp:revision>12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84D3FBB21EA4477C818C0C0F0D984C0A</vt:lpwstr>
  </property>
</Properties>
</file>