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10.3.1, 16.b.1 Proportion of population reporting having personally felt discriminated against or harassed in the previous 12 months on the basis of a ground of discrimination prohibited under interna... (VC_VOV_DCMN)</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813071"/>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rFonts w:eastAsiaTheme="minorEastAsia"/>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rPr>
                <w:lang w:val="en-CA"/>
              </w:rPr>
            </w:pPr>
            <w:r>
              <w:rPr>
                <w:rFonts w:eastAsiaTheme="minorEastAsia"/>
              </w:rPr>
              <w:t>Target 10.3: Ensure equal opportunity and reduce inequalities of outcome, including by eliminating discriminatory laws, policies and practices and promoting appropriate legislation, policies and action in this regard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rFonts w:eastAsiaTheme="minorEastAsia"/>
                <w:color w:val="auto"/>
              </w:rPr>
              <w:t>Indicator 10.3.1: Proportion of population reporting having personally felt discriminated against or harassed in the previous 12 months on the basis of a ground of discrimination prohibited under international human rights law</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5.1.1</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 xml:space="preserve">16.1.3 </w:t>
            </w:r>
          </w:p>
          <w:p>
            <w:pPr>
              <w:pStyle w:val="19"/>
              <w:jc w:val="both"/>
              <w:rPr>
                <w:rFonts w:ascii="Calibri" w:hAnsi="Calibri" w:cs="Calibri" w:eastAsiaTheme="minorEastAsia"/>
                <w:color w:val="000000"/>
                <w:sz w:val="22"/>
                <w:szCs w:val="22"/>
              </w:rPr>
            </w:pPr>
            <w:r>
              <w:rPr>
                <w:rFonts w:ascii="Calibri" w:hAnsi="Calibri" w:cs="Calibri" w:eastAsiaTheme="minorEastAsia"/>
                <w:color w:val="000000"/>
                <w:sz w:val="22"/>
                <w:szCs w:val="22"/>
              </w:rPr>
              <w:t>16.a.1</w:t>
            </w:r>
            <w:bookmarkStart w:id="38" w:name="_GoBack"/>
            <w:bookmarkEnd w:id="38"/>
          </w:p>
          <w:p>
            <w:pPr>
              <w:pStyle w:val="19"/>
              <w:jc w:val="both"/>
            </w:pPr>
            <w:r>
              <w:rPr>
                <w:rFonts w:ascii="Calibri" w:hAnsi="Calibri" w:cs="Calibri" w:eastAsiaTheme="minorEastAsia"/>
                <w:color w:val="000000"/>
                <w:sz w:val="22"/>
                <w:szCs w:val="22"/>
              </w:rPr>
              <w:t xml:space="preserve">16.6.2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Office of the United Nations High Commissioner for Human Rights (OHCHR)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573"/>
            <w:bookmarkStart w:id="16" w:name="_Toc36812686"/>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Definition:</w:t>
            </w: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color w:val="4A4A4A"/>
                <w:lang w:eastAsia="en-GB"/>
              </w:rPr>
              <w:t xml:space="preserve">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w:t>
            </w:r>
            <w:r>
              <w:rPr>
                <w:rFonts w:ascii="Calibri" w:hAnsi="Calibri" w:cs="Calibri" w:eastAsiaTheme="minorEastAsia"/>
                <w:color w:val="4A4A4A"/>
                <w:lang w:eastAsia="en-GB"/>
              </w:rPr>
              <w:fldChar w:fldCharType="begin"/>
            </w:r>
            <w:r>
              <w:rPr>
                <w:rFonts w:ascii="Calibri" w:hAnsi="Calibri" w:cs="Calibri" w:eastAsiaTheme="minorEastAsia"/>
                <w:color w:val="4A4A4A"/>
                <w:lang w:eastAsia="en-GB"/>
              </w:rPr>
              <w:instrText xml:space="preserve"> HYPERLINK "https://www.un.org/en/about-us/universal-declaration-of-human-rights" </w:instrText>
            </w:r>
            <w:r>
              <w:rPr>
                <w:rFonts w:ascii="Calibri" w:hAnsi="Calibri" w:cs="Calibri" w:eastAsiaTheme="minorEastAsia"/>
                <w:color w:val="4A4A4A"/>
                <w:lang w:eastAsia="en-GB"/>
              </w:rPr>
              <w:fldChar w:fldCharType="separate"/>
            </w:r>
            <w:r>
              <w:rPr>
                <w:rStyle w:val="18"/>
                <w:rFonts w:ascii="Calibri" w:hAnsi="Calibri" w:cs="Calibri" w:eastAsiaTheme="minorEastAsia"/>
                <w:color w:val="4A4A4A"/>
                <w:lang w:eastAsia="en-GB"/>
              </w:rPr>
              <w:t xml:space="preserve">Universal Declaration of Human Rights </w:t>
            </w:r>
            <w:r>
              <w:rPr>
                <w:rFonts w:ascii="Calibri" w:hAnsi="Calibri" w:cs="Calibri" w:eastAsiaTheme="minorEastAsia"/>
                <w:color w:val="4A4A4A"/>
                <w:lang w:eastAsia="en-GB"/>
              </w:rPr>
              <w:fldChar w:fldCharType="end"/>
            </w:r>
            <w:r>
              <w:rPr>
                <w:rFonts w:ascii="Calibri" w:hAnsi="Calibri" w:cs="Calibri" w:eastAsiaTheme="minorEastAsia"/>
                <w:color w:val="4A4A4A"/>
                <w:lang w:eastAsia="en-GB"/>
              </w:rPr>
              <w:t>and subsequent international human rights treaties adopted by the United Nations.</w:t>
            </w:r>
          </w:p>
          <w:p>
            <w:pPr>
              <w:shd w:val="clear" w:color="auto" w:fill="FFFFFF"/>
              <w:spacing w:after="0"/>
              <w:jc w:val="both"/>
              <w:rPr>
                <w:rFonts w:ascii="Calibri" w:hAnsi="Calibri" w:cs="Calibri" w:eastAsiaTheme="minorEastAsia"/>
                <w:color w:val="4A4A4A"/>
                <w:lang w:eastAsia="en-GB"/>
              </w:rPr>
            </w:pPr>
          </w:p>
          <w:p>
            <w:pPr>
              <w:shd w:val="clear" w:color="auto" w:fill="FFFFFF"/>
              <w:spacing w:after="0"/>
              <w:jc w:val="both"/>
              <w:rPr>
                <w:rFonts w:ascii="Calibri" w:hAnsi="Calibri" w:cs="Calibri" w:eastAsiaTheme="minorEastAsia"/>
                <w:color w:val="4A4A4A"/>
                <w:lang w:eastAsia="en-GB"/>
              </w:rPr>
            </w:pPr>
            <w:r>
              <w:rPr>
                <w:rFonts w:ascii="Calibri" w:hAnsi="Calibri" w:cs="Calibri" w:eastAsiaTheme="minorEastAsia"/>
                <w:b/>
                <w:bCs/>
                <w:color w:val="4A4A4A"/>
                <w:lang w:eastAsia="en-GB"/>
              </w:rPr>
              <w:t>Concepts:</w:t>
            </w:r>
          </w:p>
          <w:p>
            <w:pPr>
              <w:jc w:val="both"/>
              <w:rPr>
                <w:rFonts w:ascii="Calibri" w:hAnsi="Calibri" w:cs="Calibri" w:eastAsiaTheme="minorEastAsia"/>
              </w:rPr>
            </w:pPr>
            <w:r>
              <w:rPr>
                <w:rFonts w:ascii="Calibri" w:hAnsi="Calibri" w:cs="Calibri" w:eastAsiaTheme="minorEastAsia"/>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behaviours, harassment can take the form of a single incident.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w:t>
            </w:r>
            <w:r>
              <w:rPr>
                <w:rFonts w:cstheme="minorHAnsi"/>
              </w:rPr>
              <w:t xml:space="preserve"> </w:t>
            </w:r>
            <w:r>
              <w:rPr>
                <w:rFonts w:hint="default" w:cstheme="minorHAnsi"/>
                <w:lang w:val="en-CA"/>
              </w:rPr>
              <w:t xml:space="preserve">(GLSS) </w:t>
            </w:r>
            <w:r>
              <w:rPr>
                <w:rFonts w:cstheme="minorHAnsi"/>
              </w:rPr>
              <w:t>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655612"/>
            <w:bookmarkStart w:id="23" w:name="_Toc36813075"/>
            <w:bookmarkStart w:id="24" w:name="_Toc368125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rPr>
                <w:rFonts w:hint="default"/>
                <w:lang w:val="en-CA"/>
              </w:rPr>
            </w:pPr>
            <w:r>
              <w:rPr>
                <w:rFonts w:ascii="Calibri" w:hAnsi="Calibri" w:eastAsia="SimSun" w:cs="Calibri"/>
                <w:color w:val="000000"/>
              </w:rPr>
              <w:t xml:space="preserve">The pledge to leave no-one behind and eliminate discrimination is at the centre of the </w:t>
            </w:r>
            <w:r>
              <w:rPr>
                <w:rFonts w:ascii="Calibri" w:hAnsi="Calibri" w:eastAsia="SimSun" w:cs="Calibri"/>
                <w:color w:val="000000"/>
              </w:rPr>
              <w:fldChar w:fldCharType="begin"/>
            </w:r>
            <w:r>
              <w:rPr>
                <w:rFonts w:ascii="Calibri" w:hAnsi="Calibri" w:eastAsia="SimSun" w:cs="Calibri"/>
                <w:color w:val="000000"/>
              </w:rPr>
              <w:instrText xml:space="preserve"> HYPERLINK "https://www.undp.org/sustainable-development-goals?utm_source=EN&amp;utm_medium=GSR&amp;utm_content=US_UNDP_PaidSearch_Brand_English&amp;utm_campaign=CENTRAL&amp;c_src=CENTRAL&amp;c_src2=GSR&amp;gclid=CjwKCAiAvK2bBhB8EiwAZUbP1LU6FpebpyoZ4oOSOWWfJNIAWeAIrzV00Qwkuf0f_vjzh2v88RrqhRo" </w:instrText>
            </w:r>
            <w:r>
              <w:rPr>
                <w:rFonts w:ascii="Calibri" w:hAnsi="Calibri" w:eastAsia="SimSun" w:cs="Calibri"/>
                <w:color w:val="000000"/>
              </w:rPr>
              <w:fldChar w:fldCharType="separate"/>
            </w:r>
            <w:r>
              <w:rPr>
                <w:rStyle w:val="18"/>
                <w:rFonts w:ascii="Calibri" w:hAnsi="Calibri" w:eastAsia="SimSun" w:cs="Calibri"/>
                <w:color w:val="000000"/>
              </w:rPr>
              <w:t>2030 Agenda for Sustainable Development</w:t>
            </w:r>
            <w:r>
              <w:rPr>
                <w:rFonts w:ascii="Calibri" w:hAnsi="Calibri" w:eastAsia="SimSun" w:cs="Calibri"/>
                <w:color w:val="000000"/>
              </w:rPr>
              <w:fldChar w:fldCharType="end"/>
            </w:r>
            <w:r>
              <w:rPr>
                <w:rFonts w:ascii="Calibri" w:hAnsi="Calibri" w:eastAsia="SimSun" w:cs="Calibri"/>
                <w:color w:val="000000"/>
              </w:rPr>
              <w:t>. The purpose of this indicator is to measure a prevalence of discrimination based on the personal experience reported by individuals. It is considered an outcome indicator  helping to measure the effectiveness of non-discriminatory laws, policy and practices for the concerned population groups</w:t>
            </w:r>
            <w:r>
              <w:rPr>
                <w:rFonts w:hint="default" w:ascii="Calibri" w:hAnsi="Calibri" w:eastAsia="SimSun" w:cs="Calibri"/>
                <w:color w:val="000000"/>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2576"/>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3259"/>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1DF"/>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4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1E37"/>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3106"/>
    <w:rsid w:val="00D815D9"/>
    <w:rsid w:val="00D855E8"/>
    <w:rsid w:val="00DA69E7"/>
    <w:rsid w:val="00DB1DCD"/>
    <w:rsid w:val="00DC4AE7"/>
    <w:rsid w:val="00DD4950"/>
    <w:rsid w:val="00DE10A6"/>
    <w:rsid w:val="00DF78A7"/>
    <w:rsid w:val="00E07CA1"/>
    <w:rsid w:val="00E263EC"/>
    <w:rsid w:val="00E27187"/>
    <w:rsid w:val="00E362E3"/>
    <w:rsid w:val="00E408B6"/>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B47819"/>
    <w:rsid w:val="4842215C"/>
    <w:rsid w:val="4CFF6FFD"/>
    <w:rsid w:val="56382ABD"/>
    <w:rsid w:val="67073C8A"/>
    <w:rsid w:val="7AF1652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D37D9"/>
    <w:rsid w:val="00296525"/>
    <w:rsid w:val="0036646D"/>
    <w:rsid w:val="006153AA"/>
    <w:rsid w:val="0064052E"/>
    <w:rsid w:val="00760A1F"/>
    <w:rsid w:val="00B44835"/>
    <w:rsid w:val="00DA061B"/>
    <w:rsid w:val="00E4246B"/>
    <w:rsid w:val="00E70370"/>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216024</Words>
  <Characters>1231338</Characters>
  <Lines>10261</Lines>
  <Paragraphs>2888</Paragraphs>
  <TotalTime>47</TotalTime>
  <ScaleCrop>false</ScaleCrop>
  <LinksUpToDate>false</LinksUpToDate>
  <CharactersWithSpaces>1444474</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2021-11-04T12:13:00Z</dcterms:created>
  <dc:creator>Fanning, Stephen B (JMD)</dc:creator>
  <cp:lastModifiedBy>Doreen</cp:lastModifiedBy>
  <cp:lastPrinted>2020-04-16T14:23:00Z</cp:lastPrinted>
  <dcterms:modified xsi:type="dcterms:W3CDTF">2022-11-09T16:52:42Z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6DB72595C95E430E9D998D2BAC37F1AE</vt:lpwstr>
  </property>
</Properties>
</file>