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5"/>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 xml:space="preserve">End hunger, achieve food security and improved nutrition and promote sustainable agriculture. </w:t>
            </w:r>
            <w:r>
              <w:rPr>
                <w:rStyle w:val="18"/>
                <w:rFonts w:asciiTheme="minorHAnsi" w:hAnsiTheme="minorHAnsi" w:cstheme="minorHAnsi"/>
                <w:color w:val="auto"/>
                <w:sz w:val="22"/>
                <w:szCs w:val="22"/>
                <w:u w:val="none"/>
              </w:rPr>
              <w:fldChar w:fldCharType="end"/>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rPr>
                <w:sz w:val="22"/>
                <w:szCs w:val="22"/>
              </w:rPr>
            </w:pPr>
            <w:r>
              <w:rPr>
                <w:sz w:val="22"/>
                <w:szCs w:val="22"/>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bookmarkStart w:id="38" w:name="_GoBack"/>
            <w:bookmarkEnd w:id="38"/>
          </w:p>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2.a.1: The agriculture orientation index for government expenditures.</w:t>
            </w:r>
          </w:p>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Agriculture orientation index for government expenditures [2.a.1]</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Agriculture share of Government Expenditure [2.a.1]</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Indicators 17.1.1 and 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7932744"/>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 Ministry of Finance.</w:t>
            </w: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20"/>
                <w:rFonts w:cstheme="minorHAnsi"/>
              </w:rPr>
              <w:t>Definition:</w:t>
            </w: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(COFOC), and Agriculture Share of GDP according to the System of National Accounts (SNA).</w:t>
            </w:r>
          </w:p>
          <w:p>
            <w:pPr>
              <w:rPr>
                <w:rFonts w:cstheme="minorHAnsi"/>
              </w:rPr>
            </w:pPr>
            <w:r>
              <w:rPr>
                <w:rFonts w:cstheme="minorHAnsi"/>
              </w:rPr>
              <w:t xml:space="preserve">Year 2008 to 2011 used AgPER methodology using the COFOG (Classification of the Functions of Government) classification of agric but year 2012 to 2015 used AgPER Lite methodology which is less comprehensive compared to the AgPER methodology. </w:t>
            </w:r>
          </w:p>
          <w:p>
            <w:pPr>
              <w:rPr>
                <w:rFonts w:cstheme="minorHAnsi"/>
              </w:rPr>
            </w:pPr>
            <w:r>
              <w:rPr>
                <w:rFonts w:cstheme="minorHAnsi"/>
              </w:rPr>
              <w:t>1. Data is Collected at the Districts (Validated at disstrict level by the District Director of Agriculture).</w:t>
            </w:r>
          </w:p>
          <w:p>
            <w:pPr>
              <w:rPr>
                <w:rFonts w:cstheme="minorHAnsi"/>
              </w:rPr>
            </w:pPr>
            <w:r>
              <w:rPr>
                <w:rFonts w:cstheme="minorHAnsi"/>
              </w:rPr>
              <w:t>2. Data is Aggregated at the Region (Validated at the regional level by the Regional Director of Agriculture).</w:t>
            </w:r>
          </w:p>
          <w:p>
            <w:pPr>
              <w:rPr>
                <w:rFonts w:cstheme="minorHAnsi"/>
              </w:rPr>
            </w:pPr>
            <w:r>
              <w:rPr>
                <w:rFonts w:cstheme="minorHAnsi"/>
              </w:rPr>
              <w:t xml:space="preserve">3. Field Verification visits by the technical committee and consulting team. </w:t>
            </w:r>
          </w:p>
          <w:p>
            <w:pPr>
              <w:rPr>
                <w:rFonts w:cstheme="minorHAnsi"/>
              </w:rPr>
            </w:pPr>
            <w:r>
              <w:rPr>
                <w:rFonts w:cstheme="minorHAnsi"/>
              </w:rPr>
              <w:t>4. Validation (stakeholder validation workshop at the National level).</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Agriculture refers to the agriculture, forestry, fishing and hunting sector, or Division A of ISIC Rev 4 (equal to Division A+B of ISIC Rev 3.2).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Expenditure comprise all expense and acquisition of non-financial assets associated with supporting a particular sector, as defined in the Government Finance Statistics Manual (GFSM) 2014 developed by the International Monetary Fund (IMF). NOTE: Transactions in assets and liabilities, such as loans by general government units (disbursement and repayment), are excluded when compiling COFOG data for GFS reporting purposes.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Expenditure are classified according to the Classification of the Functions of Government (COFOG), a classification developed by the Organisation for Economic Co-operation and Development (OECD) and published by the United Nations Statistical Division (UNSD).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Agriculture value-added and GDP are based on the System of National Accounts (SNA).</w:t>
            </w:r>
          </w:p>
          <w:p>
            <w:pPr>
              <w:rPr>
                <w:rFonts w:cstheme="minorHAnsi"/>
              </w:rPr>
            </w:pP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 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w:t>
            </w:r>
          </w:p>
          <w:p>
            <w:r>
              <w:t>Ministry of Finance.</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 Ministry of Finance.</w:t>
            </w:r>
          </w:p>
        </w:tc>
      </w:tr>
      <w:permEnd w:id="31"/>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 marine/freshwater biological research; 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However, the private sector typically under-invests in these activities due to the presence of market failure (e.g. the public good nature of research and development; the positive externalities from improved soil and water conditions; lack of access to competitive credit due to asymmetric information between producers and financial institutions, etc.). Similarly, the high risk faced by agricultural producers, particular smallholders unable to hedge against risk, often requires government intervention in terms of income redistribution to support smallholders in distress following crop failures and livestock loss from pests, droughts, floods, infrastructure failure, or severe price changes.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indicator that measures GEA levels fails to take into account the size of an economy. If two countries, A and B, have the same level of GEA, and the same agriculture contribution to GDP, but country A’s economy is 10 times that of country B, setting the same target levels for GEA fails to take economic size into account.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indicator that measures the Agriculture share of Government Expenditure fails to take into account the relative contributions of the agricultural sector to a country’s GDP. Consider two countries with the same economic size, C and D, where agriculture contributes 2 percent to C’s GDP, and 10 per cent to country D’s GDP. If total Government Expenditures were equal in both countries, C would experience greater relative investment in Agriculture than D. If total Government Expenditures differed, the result could be magnified or diluted.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689"/>
            <w:bookmarkStart w:id="28" w:name="_Toc36813076"/>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not been disaggregated</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Global SDG Indicator Platform</w:t>
            </w:r>
            <w:r>
              <w:fldChar w:fldCharType="begin"/>
            </w:r>
            <w:r>
              <w:instrText xml:space="preserve"> HYPERLINK "</w:instrText>
            </w:r>
          </w:p>
          <w:p>
            <w:pPr>
              <w:rPr>
                <w:rStyle w:val="18"/>
              </w:rPr>
            </w:pPr>
            <w:r>
              <w:t xml:space="preserve">https://sdg.tracking-progress.org/indicator/2-a-1-agriculture-orientation-index-for-government-expenditures-2/ " </w:t>
            </w:r>
            <w:r>
              <w:fldChar w:fldCharType="separate"/>
            </w:r>
          </w:p>
          <w:p>
            <w:r>
              <w:rPr>
                <w:rStyle w:val="18"/>
              </w:rPr>
              <w:t xml:space="preserve">https://sdg.tracking-progress.org/indicator/2-a-1-agriculture-orientation-index-for-government-expenditures-2/ </w:t>
            </w:r>
            <w:r>
              <w:fldChar w:fldCharType="end"/>
            </w:r>
          </w:p>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F41186"/>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uiPriority w:val="99"/>
    <w:rPr>
      <w:color w:val="605E5C"/>
      <w:shd w:val="clear" w:color="auto" w:fill="E1DFDD"/>
    </w:rPr>
  </w:style>
  <w:style w:type="character" w:customStyle="1" w:styleId="55">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13BCD"/>
    <w:rsid w:val="00296525"/>
    <w:rsid w:val="0036646D"/>
    <w:rsid w:val="006153AA"/>
    <w:rsid w:val="0064052E"/>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216379</Words>
  <Characters>1233361</Characters>
  <Lines>10278</Lines>
  <Paragraphs>2893</Paragraphs>
  <TotalTime>27</TotalTime>
  <ScaleCrop>false</ScaleCrop>
  <LinksUpToDate>false</LinksUpToDate>
  <CharactersWithSpaces>1446847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origi</cp:lastModifiedBy>
  <cp:lastPrinted>2020-04-16T14:23:00Z</cp:lastPrinted>
  <dcterms:modified xsi:type="dcterms:W3CDTF">2022-10-10T19:53:31Z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D72B8FADD3A34030AA64A5D9B7B639FC</vt:lpwstr>
  </property>
</Properties>
</file>