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w:t>
            </w:r>
            <w:r>
              <w:rPr>
                <w:rFonts w:hint="default" w:cstheme="minorHAnsi"/>
                <w:lang w:val="en-CA"/>
              </w:rPr>
              <w:t xml:space="preserve">s </w:t>
            </w:r>
            <w:r>
              <w:rPr>
                <w:rFonts w:cstheme="minorHAnsi"/>
              </w:rPr>
              <w:t>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Agriculture Orientation Index (AOI): Total Agriculture Share of Government Expenditures expressed as a percentage of Agriculture value added Share of GDP. </w:t>
            </w:r>
          </w:p>
          <w:p>
            <w:pPr>
              <w:rPr>
                <w:rFonts w:hint="default"/>
                <w:lang w:val="en-CA"/>
              </w:rPr>
            </w:pPr>
          </w:p>
          <w:p>
            <w:pPr>
              <w:rPr>
                <w:rFonts w:hint="default"/>
                <w:lang w:val="en-CA"/>
              </w:rPr>
            </w:pPr>
            <w:r>
              <w:rPr>
                <w:rFonts w:hint="default"/>
                <w:lang w:val="en-CA"/>
              </w:rPr>
              <w:t>Where:</w:t>
            </w:r>
          </w:p>
          <w:p>
            <w:r>
              <w:rPr>
                <w:rFonts w:hint="default"/>
                <w:lang w:val="en-CA"/>
              </w:rPr>
              <w:t xml:space="preserve">Agriculture Share of Government Expenditure:  </w:t>
            </w:r>
            <w:r>
              <w:t>Total Government Expenditure on Agriculture expressed as a percentage of Total Government (Public) expenditure.</w:t>
            </w:r>
          </w:p>
          <w:p>
            <w:r>
              <w:t>Agriculture</w:t>
            </w:r>
            <w:r>
              <w:rPr>
                <w:rFonts w:hint="default"/>
                <w:lang w:val="en-CA"/>
              </w:rPr>
              <w:t xml:space="preserve"> here </w:t>
            </w:r>
            <w:bookmarkStart w:id="38" w:name="_GoBack"/>
            <w:bookmarkEnd w:id="38"/>
            <w:r>
              <w:t xml:space="preserve">refers to </w:t>
            </w:r>
            <w:r>
              <w:fldChar w:fldCharType="begin"/>
            </w:r>
            <w:r>
              <w:instrText xml:space="preserve"> HYPERLINK "https://www.abs.gov.au/statistics/detailed-methodology-information/concepts-sources-methods/australian-system-government-finance-statistics-concepts-sources-and-methods/2015/appendix-1-part-c-classification-functions-government-australia/classification-fun" </w:instrText>
            </w:r>
            <w:r>
              <w:fldChar w:fldCharType="separate"/>
            </w:r>
            <w:r>
              <w:rPr>
                <w:rStyle w:val="18"/>
              </w:rPr>
              <w:t>COFOG category 042</w:t>
            </w:r>
            <w:r>
              <w:fldChar w:fldCharType="end"/>
            </w:r>
            <w:r>
              <w:t xml:space="preserve"> (agriculture, forestry, fishing and hunting); and</w:t>
            </w:r>
          </w:p>
          <w:p>
            <w:pPr>
              <w:rPr>
                <w:rFonts w:hint="default"/>
                <w:lang w:val="en-CA"/>
              </w:rPr>
            </w:pPr>
            <w:r>
              <w:rPr>
                <w:rFonts w:hint="default"/>
                <w:lang w:val="en-CA"/>
              </w:rPr>
              <w:t xml:space="preserve">Agriculture value added Share of GDP : Total Agriculture value added expressed as a percentage of GDP. </w:t>
            </w:r>
          </w:p>
          <w:p>
            <w:pPr>
              <w:rPr>
                <w:rFonts w:hint="default"/>
                <w:lang w:val="en-CA" w:eastAsia="en-US"/>
              </w:rPr>
            </w:pPr>
            <w:r>
              <w:rPr>
                <w:rFonts w:hint="default"/>
                <w:lang w:val="en-CA" w:eastAsia="en-US"/>
              </w:rPr>
              <w:t xml:space="preserve">Agriculture here  refers to the </w:t>
            </w:r>
            <w:r>
              <w:rPr>
                <w:rFonts w:hint="default"/>
                <w:lang w:val="en-CA" w:eastAsia="en-US"/>
              </w:rPr>
              <w:fldChar w:fldCharType="begin"/>
            </w:r>
            <w:r>
              <w:rPr>
                <w:rFonts w:hint="default"/>
                <w:lang w:val="en-CA" w:eastAsia="en-US"/>
              </w:rPr>
              <w:instrText xml:space="preserve"> HYPERLINK "https://unstats.un.org/unsd/publication/seriesm/seriesm_4rev4e.pdf" </w:instrText>
            </w:r>
            <w:r>
              <w:rPr>
                <w:rFonts w:hint="default"/>
                <w:lang w:val="en-CA" w:eastAsia="en-US"/>
              </w:rPr>
              <w:fldChar w:fldCharType="separate"/>
            </w:r>
            <w:r>
              <w:rPr>
                <w:rStyle w:val="18"/>
                <w:rFonts w:hint="default"/>
                <w:lang w:val="en-CA" w:eastAsia="en-US"/>
              </w:rPr>
              <w:t>Division A of ISIC Rev 4</w:t>
            </w:r>
            <w:r>
              <w:rPr>
                <w:rFonts w:hint="default"/>
                <w:lang w:val="en-CA" w:eastAsia="en-US"/>
              </w:rPr>
              <w:fldChar w:fldCharType="end"/>
            </w:r>
            <w:r>
              <w:rPr>
                <w:rFonts w:hint="default"/>
                <w:lang w:val="en-CA" w:eastAsia="en-US"/>
              </w:rPr>
              <w:t xml:space="preserve"> (agriculture, forestry, fishing and hunting), equal to Division A+B of ISIC Rev 3.2.</w:t>
            </w: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812689"/>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Helvetica" w:cs="Calibri"/>
                <w:i w:val="0"/>
                <w:iCs w:val="0"/>
                <w:caps w:val="0"/>
                <w:color w:val="0B0C0C"/>
                <w:spacing w:val="0"/>
                <w:sz w:val="22"/>
                <w:szCs w:val="22"/>
                <w:u w:val="none"/>
                <w:shd w:val="clear" w:fill="FFDD00"/>
              </w:rPr>
              <w:fldChar w:fldCharType="begin"/>
            </w:r>
            <w:r>
              <w:rPr>
                <w:rFonts w:hint="default" w:ascii="Calibri" w:hAnsi="Calibri" w:eastAsia="Helvetica" w:cs="Calibri"/>
                <w:i w:val="0"/>
                <w:iCs w:val="0"/>
                <w:caps w:val="0"/>
                <w:color w:val="0B0C0C"/>
                <w:spacing w:val="0"/>
                <w:sz w:val="22"/>
                <w:szCs w:val="22"/>
                <w:u w:val="none"/>
                <w:shd w:val="clear" w:fill="FFDD00"/>
              </w:rPr>
              <w:instrText xml:space="preserve"> HYPERLINK "https://unstats.un.org/sdgs/metadata/files/Metadata-02-0A-01.pdf" </w:instrText>
            </w:r>
            <w:r>
              <w:rPr>
                <w:rFonts w:hint="default" w:ascii="Calibri" w:hAnsi="Calibri" w:eastAsia="Helvetica" w:cs="Calibri"/>
                <w:i w:val="0"/>
                <w:iCs w:val="0"/>
                <w:caps w:val="0"/>
                <w:color w:val="0B0C0C"/>
                <w:spacing w:val="0"/>
                <w:sz w:val="22"/>
                <w:szCs w:val="22"/>
                <w:u w:val="none"/>
                <w:shd w:val="clear" w:fill="FFDD00"/>
              </w:rPr>
              <w:fldChar w:fldCharType="separate"/>
            </w:r>
            <w:r>
              <w:rPr>
                <w:rStyle w:val="18"/>
                <w:rFonts w:hint="default" w:ascii="Calibri" w:hAnsi="Calibri" w:eastAsia="Helvetica" w:cs="Calibri"/>
                <w:i w:val="0"/>
                <w:iCs w:val="0"/>
                <w:caps w:val="0"/>
                <w:spacing w:val="0"/>
                <w:sz w:val="22"/>
                <w:szCs w:val="22"/>
                <w:shd w:val="clear" w:fill="FFDD00"/>
              </w:rPr>
              <w:t>SDG Indicators — SDG Indicators (un.org)</w:t>
            </w:r>
            <w:r>
              <w:rPr>
                <w:rFonts w:hint="default" w:ascii="Calibri" w:hAnsi="Calibri" w:eastAsia="Helvetica" w:cs="Calibri"/>
                <w:i w:val="0"/>
                <w:iCs w:val="0"/>
                <w:caps w:val="0"/>
                <w:color w:val="0B0C0C"/>
                <w:spacing w:val="0"/>
                <w:sz w:val="22"/>
                <w:szCs w:val="22"/>
                <w:u w:val="none"/>
                <w:shd w:val="clear" w:fill="FFDD00"/>
              </w:rPr>
              <w:fldChar w:fldCharType="end"/>
            </w:r>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1F286D65"/>
    <w:rsid w:val="1FAD7DAF"/>
    <w:rsid w:val="5BE37569"/>
    <w:rsid w:val="60C048E0"/>
    <w:rsid w:val="70B15EA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27</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2022-11-15T15:31:47Z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