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szCs w:val="22"/>
              </w:rPr>
            </w:pPr>
            <w:r>
              <w:t>Goal 4: Ensure inclusive and equitable quality education and promote lifelong learning o</w:t>
            </w:r>
            <w:bookmarkStart w:id="38" w:name="_GoBack"/>
            <w:bookmarkEnd w:id="38"/>
            <w:r>
              <w:t>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4.3: By 2030, ensure equal access for all women and men to affordable and quality technical, vocational and tertiary education,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4.3.1: Participation 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for National Functional Literacy Programme</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Private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Public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Private Senior High Technical Schools as a share of total enrolment</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Senior High Technical Schools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Classes for National Functional Literacy Programme</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Private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Public Technical and Vocational Institutions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Senior High Technical Schools with TVET Programmes</w:t>
            </w:r>
          </w:p>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Technical and Vocational Institutions</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Percentage of Female share in Enrolment for National Functional Literacy Programme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Education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19"/>
                <w:rFonts w:cs="Times New Roman"/>
                <w:color w:val="4A4A4A"/>
                <w:sz w:val="22"/>
                <w:szCs w:val="22"/>
              </w:rPr>
              <w:t>Definition:</w:t>
            </w:r>
          </w:p>
          <w:p>
            <w:pPr>
              <w:bidi w:val="0"/>
            </w:pPr>
            <w:r>
              <w:t>The percentage of youth and adults in a given age range (e.g. 15-24 years, 25-64 years, etc.) participating in formal or non-formal education or training in a given time period (e.g. last 12 months).</w:t>
            </w:r>
          </w:p>
          <w:p>
            <w:pPr>
              <w:pStyle w:val="35"/>
              <w:rPr>
                <w:sz w:val="22"/>
                <w:szCs w:val="22"/>
              </w:rPr>
            </w:pPr>
          </w:p>
          <w:p>
            <w:pPr>
              <w:shd w:val="clear" w:color="auto" w:fill="FFFFFF"/>
              <w:spacing w:after="0"/>
              <w:rPr>
                <w:rFonts w:cs="Times New Roman"/>
                <w:color w:val="4A4A4A"/>
                <w:sz w:val="22"/>
                <w:szCs w:val="22"/>
              </w:rPr>
            </w:pPr>
            <w:r>
              <w:rPr>
                <w:rStyle w:val="19"/>
                <w:rFonts w:cs="Times New Roman"/>
                <w:color w:val="4A4A4A"/>
                <w:sz w:val="22"/>
                <w:szCs w:val="22"/>
              </w:rPr>
              <w:t>Concepts:</w:t>
            </w:r>
          </w:p>
          <w:p>
            <w:pPr>
              <w:bidi w:val="0"/>
            </w:pPr>
            <w: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 to up to 20 or 25 years old. In some countries, the upper parts of this ‘ladder’ are organized programmes of joint part-time employment and part-time participation in the regular school and university system.</w:t>
            </w:r>
          </w:p>
          <w:p>
            <w:pPr>
              <w:bidi w:val="0"/>
            </w:pPr>
          </w:p>
          <w:p>
            <w:pPr>
              <w:bidi w:val="0"/>
              <w:rPr>
                <w:szCs w:val="22"/>
              </w:rPr>
            </w:pPr>
            <w:r>
              <w:t>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Depending on national contexts, it may cover educational programmes to impart adult literacy, life-skills, work-skills, and general culture.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Number, 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Arial" w:cstheme="minorHAnsi"/>
                <w:bCs/>
                <w:iCs/>
                <w:color w:val="000000" w:themeColor="text1"/>
                <w14:textFill>
                  <w14:solidFill>
                    <w14:schemeClr w14:val="tx1"/>
                  </w14:solidFill>
                </w14:textFill>
              </w:rPr>
            </w:pPr>
            <w:r>
              <w:rPr>
                <w:rFonts w:eastAsia="Arial" w:cstheme="minorHAnsi"/>
                <w:bCs/>
                <w:iCs/>
                <w:color w:val="000000" w:themeColor="text1"/>
                <w14:textFill>
                  <w14:solidFill>
                    <w14:schemeClr w14:val="tx1"/>
                  </w14:solidFill>
                </w14:textFill>
              </w:rPr>
              <w:t>EMIS 2020</w:t>
            </w:r>
          </w:p>
          <w:p>
            <w:r>
              <w:rPr>
                <w:rFonts w:cstheme="minorHAnsi"/>
                <w:bCs/>
                <w:iCs/>
              </w:rPr>
              <w:t>2018 Education Assessment Performance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Education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3075"/>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eastAsia="SimSun" w:cs="Times New Roman" w:asciiTheme="minorAscii" w:hAnsiTheme="minorAscii"/>
                <w:i w:val="0"/>
                <w:iCs w:val="0"/>
                <w:caps w:val="0"/>
                <w:color w:val="000000"/>
                <w:spacing w:val="0"/>
                <w:sz w:val="22"/>
                <w:szCs w:val="22"/>
              </w:rPr>
              <w:t>To show the level of participation of youth and adults in education and training of all types.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educational level and sector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178F0D8E"/>
    <w:rsid w:val="318E0D50"/>
    <w:rsid w:val="5F6E343D"/>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hidden-sm"/>
    <w:basedOn w:val="4"/>
    <w:qFormat/>
    <w:uiPriority w:val="0"/>
  </w:style>
  <w:style w:type="paragraph" w:customStyle="1" w:styleId="55">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5</TotalTime>
  <ScaleCrop>false</ScaleCrop>
  <LinksUpToDate>false</LinksUpToDate>
  <CharactersWithSpaces>1441836</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origi</cp:lastModifiedBy>
  <cp:lastPrinted>2020-04-16T14:23:00Z</cp:lastPrinted>
  <dcterms:modified xsi:type="dcterms:W3CDTF">2022-10-16T10:03:33Z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F1F3E83ED3FE49FE88DEA9F294305FCF</vt:lpwstr>
  </property>
</Properties>
</file>