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Style w:val="18"/>
                <w:rFonts w:hint="default" w:asciiTheme="minorAscii" w:hAnsiTheme="minorAscii"/>
                <w:sz w:val="22"/>
                <w:szCs w:val="22"/>
                <w:lang w:val="en-US"/>
              </w:rPr>
            </w:pPr>
            <w:r>
              <w:rPr>
                <w:rFonts w:hint="default" w:asciiTheme="minorAscii" w:hAnsiTheme="minorAscii" w:cstheme="minorHAnsi"/>
                <w:sz w:val="22"/>
                <w:szCs w:val="22"/>
              </w:rPr>
              <w:t>Goal 1: End povert</w:t>
            </w:r>
            <w:bookmarkStart w:id="38" w:name="_GoBack"/>
            <w:bookmarkEnd w:id="38"/>
            <w:r>
              <w:rPr>
                <w:rFonts w:hint="default" w:asciiTheme="minorAscii" w:hAnsiTheme="minorAscii" w:cstheme="minorHAnsi"/>
                <w:sz w:val="22"/>
                <w:szCs w:val="22"/>
              </w:rPr>
              <w: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1.2.2: Proportion of men, women and children of all ages living in poverty in all its dimensions according to national definitions.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 [1.2.2</w:t>
            </w:r>
            <w:r>
              <w:rPr>
                <w:rFonts w:ascii="Helvetica" w:hAnsi="Helvetica" w:eastAsia="Helvetica" w:cs="Helvetica"/>
                <w:i w:val="0"/>
                <w:iCs w:val="0"/>
                <w:caps w:val="0"/>
                <w:color w:val="0B0C0C"/>
                <w:spacing w:val="0"/>
                <w:sz w:val="12"/>
                <w:szCs w:val="12"/>
                <w:shd w:val="clear" w:fill="FFFFFF"/>
              </w:rPr>
              <w:t>]</w:t>
            </w:r>
          </w:p>
          <w:p>
            <w:pPr>
              <w:bidi w:val="0"/>
            </w:pPr>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3072"/>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p>
            <w:r>
              <w:t>National Development Planning Commission (NDPC)</w:t>
            </w:r>
          </w:p>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following four series are used to monitor the SDG 1.2.2.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people who are multidimensionally poor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households who are multidimensionally poor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children who are simultaneously deprived in multiple dimensions of well-being</w:t>
            </w:r>
          </w:p>
          <w:p>
            <w:pPr>
              <w:pStyle w:val="19"/>
              <w:rPr>
                <w:rFonts w:asciiTheme="minorHAnsi" w:hAnsiTheme="minorHAnsi" w:cstheme="minorHAnsi"/>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EU countries, North Macedonia and Turkey have a different approach to measure the multidimensional poverty using the concept of "people at risk of poverty or social exclusion" (AROPE) calculated by EUROSTAT using the data from EU statistics on income and living conditions (EU-SILC). AROPE consists of three indicators, and individuals are considered as "at risk of poverty or social exclusion" if they are "at risk of poverty" or "severely materially deprived" or "living in a household with a very low work intensity".</w:t>
            </w:r>
          </w:p>
          <w:p>
            <w:pPr>
              <w:pStyle w:val="19"/>
              <w:bidi w:val="0"/>
              <w:rPr>
                <w:rFonts w:hint="default" w:asciiTheme="minorAscii" w:hAnsiTheme="minorAscii"/>
                <w:sz w:val="22"/>
                <w:szCs w:val="22"/>
              </w:rPr>
            </w:pPr>
            <w:r>
              <w:rPr>
                <w:rFonts w:hint="default" w:asciiTheme="minorAscii" w:hAnsiTheme="minorAscii"/>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Multidimensional child Poverty in Ghana, 2020)</w:t>
            </w:r>
          </w:p>
          <w:p>
            <w:r>
              <w:rPr>
                <w:rFonts w:cstheme="minorHAnsi"/>
              </w:rPr>
              <w:t>Multidimensional poverty, Ghana living standards survey, Ghana Multiple indicator Cluster survey – Ghana statistical service.</w:t>
            </w:r>
            <w:r>
              <w:rPr>
                <w:rFonts w:cstheme="minorHAnsi"/>
              </w:rPr>
              <w:br w:type="textWrapping"/>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p>
          <w:p>
            <w:pPr>
              <w:pStyle w:val="19"/>
            </w:pPr>
            <w:r>
              <w:rPr>
                <w:rFonts w:asciiTheme="minorHAnsi" w:hAnsiTheme="minorHAnsi" w:cstheme="minorHAnsi"/>
                <w:color w:val="000000"/>
                <w:sz w:val="22"/>
                <w:szCs w:val="22"/>
              </w:rPr>
              <w:t>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7932748"/>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Data has been disaggregated into urban and rural areas</w:t>
            </w:r>
            <w:r>
              <w:rPr>
                <w:rFonts w:hint="default"/>
                <w:lang w:val="en-US"/>
              </w:rPr>
              <w:t xml:space="preserve">, regions and development dimensions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Organization for Economic Cooperation and Development, poverty Rate 2022</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ylfaen">
    <w:panose1 w:val="010A0502050306030303"/>
    <w:charset w:val="00"/>
    <w:family w:val="auto"/>
    <w:pitch w:val="default"/>
    <w:sig w:usb0="04000687" w:usb1="00000000" w:usb2="00000000" w:usb3="00000000" w:csb0="2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2B53F9F"/>
    <w:rsid w:val="0DAE4F76"/>
    <w:rsid w:val="1D8C7C77"/>
    <w:rsid w:val="4AA054E9"/>
    <w:rsid w:val="717F6C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1</TotalTime>
  <ScaleCrop>false</ScaleCrop>
  <LinksUpToDate>false</LinksUpToDate>
  <CharactersWithSpaces>1445513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origi</cp:lastModifiedBy>
  <cp:lastPrinted>2020-04-16T14:23:00Z</cp:lastPrinted>
  <dcterms:modified xsi:type="dcterms:W3CDTF">2022-10-15T16:39:34Z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2C4FAB82AC9F40C68540C6CDCE33BA4E</vt:lpwstr>
  </property>
</Properties>
</file>