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The percentage of people who are living in households which are deemed at risk of poverty in the national context. 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"https://sustainabledevelopment-ghana.github.io/no-poverty" </w:instrText>
            </w:r>
            <w:r>
              <w:fldChar w:fldCharType="separate"/>
            </w:r>
            <w:r>
              <w:rPr>
                <w:rStyle w:val="53"/>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End poverty in all its forms everywhere</w:t>
            </w:r>
            <w:r>
              <w:rPr>
                <w:rStyle w:val="18"/>
                <w:rFonts w:asciiTheme="minorHAnsi" w:hAnsiTheme="minorHAnsi" w:cstheme="minorHAnsi"/>
                <w:color w:val="auto"/>
                <w:sz w:val="22"/>
                <w:szCs w:val="22"/>
                <w:u w:val="none"/>
              </w:rPr>
              <w:fldChar w:fldCharType="end"/>
            </w:r>
            <w:r>
              <w:rPr>
                <w:rStyle w:val="18"/>
                <w:rFonts w:asciiTheme="minorHAnsi" w:hAnsiTheme="minorHAnsi" w:cstheme="minorHAnsi"/>
                <w:color w:val="auto"/>
                <w:sz w:val="22"/>
                <w:szCs w:val="22"/>
                <w:u w:val="none"/>
              </w:rPr>
              <w:t>.</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1.2 By 2030, reduce at least by half the proportion of men, women and children of all ages living in poverty in all its dimensions according to national definitions.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1.2.1: Proportion of population living below the national poverty line, by sex and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Indicator 1.1.1: Proportion of population below the international poverty line, by sex, age, employment status and geographical location (urban/rural).</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rPr>
            </w:pPr>
            <w:r>
              <w:t>World Bank</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3072"/>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Services</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689"/>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ascii="Calibri" w:hAnsi="Calibri" w:eastAsia="Calibri" w:cs="Arial"/>
                <w:sz w:val="22"/>
                <w:szCs w:val="22"/>
                <w:lang w:val="en-US" w:eastAsia="en-US" w:bidi="ar"/>
              </w:rPr>
              <w:t>Data has been disaggregated by sex,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eastAsia" w:asciiTheme="minorEastAsia" w:hAnsiTheme="minorEastAsia" w:eastAsiaTheme="minorEastAsia" w:cstheme="minorEastAsia"/>
                <w:sz w:val="22"/>
                <w:szCs w:val="22"/>
              </w:rPr>
              <w:fldChar w:fldCharType="begin"/>
            </w:r>
            <w:r>
              <w:rPr>
                <w:rFonts w:hint="eastAsia" w:asciiTheme="minorEastAsia" w:hAnsiTheme="minorEastAsia" w:eastAsiaTheme="minorEastAsia" w:cstheme="minorEastAsia"/>
                <w:sz w:val="22"/>
                <w:szCs w:val="22"/>
              </w:rPr>
              <w:instrText xml:space="preserve"> HYPERLINK "https://unstats.un.org/sdgs/metadata/" </w:instrText>
            </w:r>
            <w:r>
              <w:rPr>
                <w:rFonts w:hint="eastAsia" w:asciiTheme="minorEastAsia" w:hAnsiTheme="minorEastAsia" w:eastAsiaTheme="minorEastAsia" w:cstheme="minorEastAsia"/>
                <w:sz w:val="22"/>
                <w:szCs w:val="22"/>
              </w:rPr>
              <w:fldChar w:fldCharType="separate"/>
            </w:r>
            <w:r>
              <w:rPr>
                <w:rStyle w:val="18"/>
                <w:rFonts w:hint="eastAsia" w:asciiTheme="minorEastAsia" w:hAnsiTheme="minorEastAsia" w:eastAsiaTheme="minorEastAsia" w:cstheme="minorEastAsia"/>
                <w:sz w:val="22"/>
                <w:szCs w:val="22"/>
              </w:rPr>
              <w:t>SDG Indicators — SDG Indicators (un.org)</w:t>
            </w:r>
            <w:r>
              <w:rPr>
                <w:rFonts w:hint="eastAsia" w:asciiTheme="minorEastAsia" w:hAnsiTheme="minorEastAsia" w:eastAsiaTheme="minorEastAsia" w:cstheme="minorEastAsia"/>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mbria Math">
    <w:panose1 w:val="02040503050406030204"/>
    <w:charset w:val="00"/>
    <w:family w:val="auto"/>
    <w:pitch w:val="variable"/>
    <w:sig w:usb0="E00006FF" w:usb1="420024FF" w:usb2="02000000" w:usb3="00000000" w:csb0="2000019F" w:csb1="00000000"/>
  </w:font>
  <w:font w:name="@SimSun">
    <w:panose1 w:val="02010600030101010101"/>
    <w:charset w:val="86"/>
    <w:family w:val="auto"/>
    <w:pitch w:val="variable"/>
    <w:sig w:usb0="00000203" w:usb1="288F0000" w:usb2="00000006" w:usb3="00000000" w:csb0="00040001" w:csb1="00000000"/>
  </w:font>
  <w:font w:name="Segoe UI Variable Text Semilight">
    <w:panose1 w:val="00000000000000000000"/>
    <w:charset w:val="00"/>
    <w:family w:val="auto"/>
    <w:pitch w:val="default"/>
    <w:sig w:usb0="A00002FF" w:usb1="0000000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1A5A01"/>
    <w:rsid w:val="13FA4852"/>
    <w:rsid w:val="27DD4CC6"/>
    <w:rsid w:val="6BF5491B"/>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6</TotalTime>
  <ScaleCrop>false</ScaleCrop>
  <LinksUpToDate>false</LinksUpToDate>
  <CharactersWithSpaces>1441381</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origi</cp:lastModifiedBy>
  <cp:lastPrinted>2020-04-16T14:23:00Z</cp:lastPrinted>
  <dcterms:modified xsi:type="dcterms:W3CDTF">2022-09-21T19:12:24Z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02E9420B7C064756BEB507C6AAC4A707</vt:lpwstr>
  </property>
</Properties>
</file>