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10.3.1, 16.b.1 Proportion of population reporting having personally felt discriminated against or harassed in the previous 12 months on the basis of a ground of discrimination prohibited under interna... (VC_VOV_DCMN)</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4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4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6655608"/>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9"/>
            </w:pPr>
            <w:r>
              <w:rPr>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Target 16.b: Promote and enforce non-discriminatory laws and policies for sustainable development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29"/>
            </w:pPr>
            <w:r>
              <w:t>I</w:t>
            </w:r>
            <w:r>
              <w:rPr>
                <w:sz w:val="22"/>
                <w:szCs w:val="22"/>
              </w:rPr>
              <w:t>ndicator 16.b.1: Proportion of population reporting having personally felt discriminated against or harassed in the previous 12 months on the basis of a ground of discrimination prohibited under international human rights law</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5.1.1</w:t>
            </w:r>
          </w:p>
          <w:p>
            <w:pPr>
              <w:pStyle w:val="29"/>
              <w:rPr>
                <w:sz w:val="22"/>
                <w:szCs w:val="22"/>
              </w:rPr>
            </w:pPr>
            <w:r>
              <w:rPr>
                <w:sz w:val="22"/>
                <w:szCs w:val="22"/>
              </w:rPr>
              <w:t>16.1.3</w:t>
            </w:r>
          </w:p>
          <w:p>
            <w:pPr>
              <w:pStyle w:val="29"/>
              <w:rPr>
                <w:sz w:val="22"/>
                <w:szCs w:val="22"/>
              </w:rPr>
            </w:pPr>
            <w:r>
              <w:rPr>
                <w:sz w:val="22"/>
                <w:szCs w:val="22"/>
              </w:rPr>
              <w:t>16.a.1</w:t>
            </w:r>
          </w:p>
          <w:p>
            <w:pPr>
              <w:pStyle w:val="29"/>
            </w:pPr>
            <w:r>
              <w:rPr>
                <w:sz w:val="22"/>
                <w:szCs w:val="22"/>
              </w:rPr>
              <w:t xml:space="preserve">16.6.2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lang w:eastAsia="en-GB"/>
              </w:rPr>
              <w:t>Office of the United Nations High Commissioner for Human Rights (OHCHR)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7932744"/>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573"/>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ascii="Calibri" w:hAnsi="Calibri" w:eastAsia="Times New Roman" w:cs="Calibri"/>
                <w:color w:val="4A4A4A"/>
                <w:lang w:eastAsia="en-GB"/>
              </w:rPr>
            </w:pPr>
            <w:r>
              <w:rPr>
                <w:rFonts w:ascii="Calibri" w:hAnsi="Calibri" w:eastAsia="Times New Roman" w:cs="Calibri"/>
                <w:b/>
                <w:bCs/>
                <w:color w:val="4A4A4A"/>
                <w:lang w:eastAsia="en-GB"/>
              </w:rPr>
              <w:t>Definition:</w:t>
            </w:r>
          </w:p>
          <w:p>
            <w:pPr>
              <w:shd w:val="clear" w:color="auto" w:fill="FFFFFF"/>
              <w:spacing w:after="0"/>
              <w:jc w:val="both"/>
              <w:rPr>
                <w:rFonts w:ascii="Calibri" w:hAnsi="Calibri" w:eastAsia="Times New Roman" w:cs="Calibri"/>
                <w:color w:val="4A4A4A"/>
                <w:lang w:eastAsia="en-GB"/>
              </w:rPr>
            </w:pPr>
            <w:r>
              <w:rPr>
                <w:rFonts w:ascii="Calibri" w:hAnsi="Calibri" w:eastAsia="Times New Roman" w:cs="Calibri"/>
                <w:color w:val="4A4A4A"/>
                <w:lang w:eastAsia="en-GB"/>
              </w:rPr>
              <w:t>This indicator is defined as the proportion of the population (adults) who self-report that they personally experienced discrimination or harassment during the last 12 months based on ground(s) prohibited by international human rights law. International human rights law refers to the body of international legal instruments aiming to promote and protect human rights, including the Universal Declaration of Human Rights and subsequent international human rights treaties adopted by the United Nations.</w:t>
            </w:r>
          </w:p>
          <w:p>
            <w:pPr>
              <w:shd w:val="clear" w:color="auto" w:fill="FFFFFF"/>
              <w:spacing w:after="0"/>
              <w:jc w:val="both"/>
              <w:rPr>
                <w:rFonts w:ascii="Calibri" w:hAnsi="Calibri" w:eastAsia="Times New Roman" w:cs="Calibri"/>
                <w:color w:val="4A4A4A"/>
                <w:lang w:eastAsia="en-GB"/>
              </w:rPr>
            </w:pPr>
          </w:p>
          <w:p>
            <w:pPr>
              <w:shd w:val="clear" w:color="auto" w:fill="FFFFFF"/>
              <w:spacing w:after="0"/>
              <w:jc w:val="both"/>
              <w:rPr>
                <w:rFonts w:ascii="Calibri" w:hAnsi="Calibri" w:eastAsia="Times New Roman" w:cs="Calibri"/>
                <w:color w:val="4A4A4A"/>
                <w:lang w:eastAsia="en-GB"/>
              </w:rPr>
            </w:pPr>
            <w:r>
              <w:rPr>
                <w:rFonts w:ascii="Calibri" w:hAnsi="Calibri" w:eastAsia="Times New Roman" w:cs="Calibri"/>
                <w:b/>
                <w:bCs/>
                <w:color w:val="4A4A4A"/>
                <w:lang w:eastAsia="en-GB"/>
              </w:rPr>
              <w:t>Concepts:</w:t>
            </w:r>
          </w:p>
          <w:p>
            <w:pPr>
              <w:jc w:val="both"/>
            </w:pPr>
            <w:r>
              <w:rPr>
                <w:rFonts w:ascii="Calibri" w:hAnsi="Calibri" w:cs="Calibri"/>
              </w:rPr>
              <w:t>Discrimination is any distinction, exclusion, restriction or preference or other differential treatment that is directly or indirectly based on prohibited grounds of discrimination, and which has the intention or effect of nullifying or impairing the recognition, enjoyment or exercise, on an equal footing, of human rights and fundamental freedoms in the political, economic, social, cultural or any other field of public life. Harassment is</w:t>
            </w:r>
            <w:r>
              <w:rPr>
                <w:rFonts w:ascii="Calibri" w:hAnsi="Calibri"/>
              </w:rPr>
              <w:t xml:space="preserve"> a form of discrimination when it is also based on prohibited grounds of discrimination. Harassment may take the form of words, gestures or actions, which tend to annoy, alarm, abuse, demean, intimidate, belittle, humiliate or embarrass another or which create an intimidating, hostile or offensive environment. While generally involving a pattern of behaviours, harassment can take the form of a single incident.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t xml:space="preserve">Percentage </w:t>
            </w:r>
            <w:r>
              <w:rPr>
                <w:lang w:val="en-CA"/>
              </w:rPr>
              <w: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cstheme="minorHAnsi"/>
              </w:rPr>
              <w:t>G</w:t>
            </w:r>
            <w:r>
              <w:rPr>
                <w:rFonts w:cstheme="minorHAnsi"/>
                <w:lang w:val="en-CA"/>
              </w:rPr>
              <w:t xml:space="preserve">hana </w:t>
            </w:r>
            <w:r>
              <w:rPr>
                <w:rFonts w:cstheme="minorHAnsi"/>
              </w:rPr>
              <w:t>L</w:t>
            </w:r>
            <w:r>
              <w:rPr>
                <w:rFonts w:cstheme="minorHAnsi"/>
                <w:lang w:val="en-CA"/>
              </w:rPr>
              <w:t xml:space="preserve">iving </w:t>
            </w:r>
            <w:r>
              <w:rPr>
                <w:rFonts w:cstheme="minorHAnsi"/>
              </w:rPr>
              <w:t>S</w:t>
            </w:r>
            <w:r>
              <w:rPr>
                <w:rFonts w:cstheme="minorHAnsi"/>
                <w:lang w:val="en-CA"/>
              </w:rPr>
              <w:t xml:space="preserve">tandards </w:t>
            </w:r>
            <w:r>
              <w:rPr>
                <w:rFonts w:cstheme="minorHAnsi"/>
              </w:rPr>
              <w:t>S</w:t>
            </w:r>
            <w:r>
              <w:rPr>
                <w:rFonts w:cstheme="minorHAnsi"/>
                <w:lang w:val="en-CA"/>
              </w:rPr>
              <w:t>urvey</w:t>
            </w:r>
            <w:r>
              <w:rPr>
                <w:rFonts w:cstheme="minorHAnsi"/>
              </w:rPr>
              <w:t xml:space="preserve"> </w:t>
            </w:r>
            <w:r>
              <w:rPr>
                <w:rFonts w:cstheme="minorHAnsi"/>
                <w:lang w:val="en-CA"/>
              </w:rPr>
              <w:t xml:space="preserve">(GLSS) </w:t>
            </w:r>
            <w:r>
              <w:rPr>
                <w:rFonts w:cstheme="minorHAnsi"/>
              </w:rPr>
              <w:t xml:space="preserve">Round </w:t>
            </w:r>
            <w:r>
              <w:rPr>
                <w:rFonts w:cstheme="minorHAnsi"/>
                <w:lang w:val="en-CA"/>
              </w:rPr>
              <w:t xml:space="preserve"> </w:t>
            </w:r>
            <w:r>
              <w:rPr>
                <w:rFonts w:cstheme="minorHAnsi"/>
              </w:rPr>
              <w:t>7, 201</w:t>
            </w:r>
            <w:r>
              <w:rPr>
                <w:rFonts w:hint="default" w:cstheme="minorHAnsi"/>
                <w:lang w:val="en-CA"/>
              </w:rPr>
              <w:t>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7932747"/>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pPr>
            <w:r>
              <w:rPr>
                <w:rFonts w:eastAsia="Times New Roman" w:cs="Times New Roman"/>
                <w:color w:val="4A4A4A"/>
                <w:lang w:eastAsia="en-GB"/>
              </w:rPr>
              <w:t xml:space="preserve">The pledge to leave no-one behind and eliminate discrimination is at the centre of the </w:t>
            </w:r>
            <w:r>
              <w:rPr>
                <w:rFonts w:eastAsia="Times New Roman" w:cs="Times New Roman"/>
                <w:color w:val="4A4A4A"/>
                <w:lang w:eastAsia="en-GB"/>
              </w:rPr>
              <w:fldChar w:fldCharType="begin"/>
            </w:r>
            <w:r>
              <w:rPr>
                <w:rFonts w:eastAsia="Times New Roman" w:cs="Times New Roman"/>
                <w:color w:val="4A4A4A"/>
                <w:lang w:eastAsia="en-GB"/>
              </w:rPr>
              <w:instrText xml:space="preserve"> HYPERLINK "https://www.unssc.org/sites/default/files/2030_agenda_for_sustainable_development_kcsd_primer_en.pdf" </w:instrText>
            </w:r>
            <w:r>
              <w:rPr>
                <w:rFonts w:eastAsia="Times New Roman" w:cs="Times New Roman"/>
                <w:color w:val="4A4A4A"/>
                <w:lang w:eastAsia="en-GB"/>
              </w:rPr>
              <w:fldChar w:fldCharType="separate"/>
            </w:r>
            <w:r>
              <w:rPr>
                <w:rStyle w:val="18"/>
                <w:rFonts w:eastAsia="Times New Roman" w:cs="Times New Roman"/>
                <w:color w:val="4A4A4A"/>
                <w:lang w:eastAsia="en-GB"/>
              </w:rPr>
              <w:t>2030 Agenda for Sustainable Development</w:t>
            </w:r>
            <w:r>
              <w:rPr>
                <w:rFonts w:eastAsia="Times New Roman" w:cs="Times New Roman"/>
                <w:color w:val="4A4A4A"/>
                <w:lang w:eastAsia="en-GB"/>
              </w:rPr>
              <w:fldChar w:fldCharType="end"/>
            </w:r>
            <w:r>
              <w:rPr>
                <w:rFonts w:eastAsia="Times New Roman" w:cs="Times New Roman"/>
                <w:color w:val="4A4A4A"/>
                <w:lang w:eastAsia="en-GB"/>
              </w:rPr>
              <w:t xml:space="preserve">. The elimination of discrimination is also enshrined in the </w:t>
            </w:r>
            <w:r>
              <w:rPr>
                <w:rFonts w:eastAsia="Times New Roman" w:cs="Times New Roman"/>
                <w:color w:val="4A4A4A"/>
                <w:lang w:eastAsia="en-GB"/>
              </w:rPr>
              <w:fldChar w:fldCharType="begin"/>
            </w:r>
            <w:r>
              <w:rPr>
                <w:rFonts w:eastAsia="Times New Roman" w:cs="Times New Roman"/>
                <w:color w:val="4A4A4A"/>
                <w:lang w:eastAsia="en-GB"/>
              </w:rPr>
              <w:instrText xml:space="preserve"> HYPERLINK "https://www.ohchr.org/sites/default/files/documents/publications/coretreatiesen.pdf" </w:instrText>
            </w:r>
            <w:r>
              <w:rPr>
                <w:rFonts w:eastAsia="Times New Roman" w:cs="Times New Roman"/>
                <w:color w:val="4A4A4A"/>
                <w:lang w:eastAsia="en-GB"/>
              </w:rPr>
              <w:fldChar w:fldCharType="separate"/>
            </w:r>
            <w:r>
              <w:rPr>
                <w:rStyle w:val="18"/>
                <w:rFonts w:eastAsia="Times New Roman" w:cs="Times New Roman"/>
                <w:color w:val="4A4A4A"/>
                <w:lang w:eastAsia="en-GB"/>
              </w:rPr>
              <w:t>Universal Declaration of Human Rights and the core international human rights treaties</w:t>
            </w:r>
            <w:r>
              <w:rPr>
                <w:rFonts w:eastAsia="Times New Roman" w:cs="Times New Roman"/>
                <w:color w:val="4A4A4A"/>
                <w:lang w:eastAsia="en-GB"/>
              </w:rPr>
              <w:fldChar w:fldCharType="end"/>
            </w:r>
            <w:r>
              <w:rPr>
                <w:rFonts w:eastAsia="Times New Roman" w:cs="Times New Roman"/>
                <w:color w:val="4A4A4A"/>
                <w:lang w:eastAsia="en-GB"/>
              </w:rPr>
              <w:t xml:space="preserve">. The purpose of this indicator is to measure a prevalence of discrimination based on the personal experience reported by individuals.  It is considered an outcome indicator (see </w:t>
            </w:r>
            <w:r>
              <w:fldChar w:fldCharType="begin"/>
            </w:r>
            <w:r>
              <w:instrText xml:space="preserve"> HYPERLINK "https://www.ohchr.org/EN/Issues/Indicators/Pages/documents.aspx" </w:instrText>
            </w:r>
            <w:r>
              <w:fldChar w:fldCharType="separate"/>
            </w:r>
            <w:r>
              <w:rPr>
                <w:rStyle w:val="18"/>
              </w:rPr>
              <w:t>HR/PUB/12/5</w:t>
            </w:r>
            <w:r>
              <w:rPr>
                <w:rStyle w:val="18"/>
              </w:rPr>
              <w:fldChar w:fldCharType="end"/>
            </w:r>
            <w:r>
              <w:rPr>
                <w:rFonts w:eastAsia="Times New Roman" w:cs="Times New Roman"/>
                <w:color w:val="4A4A4A"/>
                <w:lang w:eastAsia="en-GB"/>
              </w:rPr>
              <w:t>) helping to measure the effectiveness of non-discriminatory laws, policy and practices for the concerned population groups.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7932748"/>
            <w:bookmarkStart w:id="28" w:name="_Toc36812689"/>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regions and discrimination status.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shd w:val="clear" w:color="auto" w:fill="FFFFFF"/>
              <w:spacing w:after="0"/>
            </w:pPr>
            <w:r>
              <w:fldChar w:fldCharType="begin"/>
            </w:r>
            <w:r>
              <w:instrText xml:space="preserve"> HYPERLINK "http://www.ohchr.org" </w:instrText>
            </w:r>
            <w:r>
              <w:fldChar w:fldCharType="separate"/>
            </w:r>
            <w:r>
              <w:rPr>
                <w:rStyle w:val="18"/>
              </w:rPr>
              <w:t>www.ohchr.org</w:t>
            </w:r>
            <w:r>
              <w:rPr>
                <w:rStyle w:val="18"/>
              </w:rPr>
              <w:fldChar w:fldCharType="end"/>
            </w:r>
            <w:r>
              <w:rPr>
                <w:rFonts w:eastAsia="Times New Roman" w:cs="Times New Roman"/>
                <w:color w:val="4A4A4A"/>
                <w:sz w:val="21"/>
                <w:szCs w:val="21"/>
                <w:lang w:eastAsia="en-GB"/>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47448"/>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7C1A"/>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6ED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6A5C"/>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B71DF"/>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4015"/>
    <w:rsid w:val="00B137EE"/>
    <w:rsid w:val="00B13CEC"/>
    <w:rsid w:val="00B66AF3"/>
    <w:rsid w:val="00B71AEA"/>
    <w:rsid w:val="00B74489"/>
    <w:rsid w:val="00B8102F"/>
    <w:rsid w:val="00B818CA"/>
    <w:rsid w:val="00B97297"/>
    <w:rsid w:val="00B979B1"/>
    <w:rsid w:val="00BA6D7B"/>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5535"/>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ACD198B"/>
    <w:rsid w:val="7C32617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903E6B"/>
    <w:rsid w:val="00A5643B"/>
    <w:rsid w:val="00B4483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216027</Words>
  <Characters>1231354</Characters>
  <Lines>10261</Lines>
  <Paragraphs>2888</Paragraphs>
  <TotalTime>15</TotalTime>
  <ScaleCrop>false</ScaleCrop>
  <LinksUpToDate>false</LinksUpToDate>
  <CharactersWithSpaces>1444493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2022-09-13T12:52:00Z</dcterms:created>
  <dc:creator>Fanning, Stephen B (JMD)</dc:creator>
  <cp:lastModifiedBy>Doreen</cp:lastModifiedBy>
  <cp:lastPrinted>2020-04-16T14:23:00Z</cp:lastPrinted>
  <dcterms:modified xsi:type="dcterms:W3CDTF">2022-11-13T12:11:58Z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4838C90BF77B4F3183C77B0EFD278827</vt:lpwstr>
  </property>
</Properties>
</file>