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17.1.1 Total government revenue as a proportion of GDP [17.1.1] (GR_G14_GDP)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17.1: Strengthen domestic resource mobilization, including through international support to developing countries, to improve domestic capacity for tax and other revenue collection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17.1.1: Total government revenue as a proportion of GDP, by source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I</w:t>
            </w:r>
            <w:r>
              <w:rPr>
                <w:sz w:val="22"/>
                <w:szCs w:val="22"/>
              </w:rPr>
              <w:t>ndicator 17.1.2: Proportion of domestic budget funded by domestic taxes</w:t>
            </w:r>
            <w:r>
              <w:rPr>
                <w:sz w:val="22"/>
                <w:szCs w:val="22"/>
                <w:highlight w:val="yellow"/>
              </w:rPr>
              <w:t xml:space="preserve">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IMF Statistics Department (Government Finance Division)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Revenue is defined</w:t>
            </w:r>
            <w:r>
              <w:rPr>
                <w:rFonts w:hint="default" w:ascii="Calibri" w:hAnsi="Calibri" w:cs="Calibri"/>
                <w:i w:val="0"/>
                <w:iCs w:val="0"/>
                <w:caps w:val="0"/>
                <w:color w:val="000000"/>
                <w:spacing w:val="0"/>
                <w:sz w:val="22"/>
                <w:szCs w:val="22"/>
                <w:lang w:val="en-CA"/>
              </w:rPr>
              <w:t xml:space="preserve"> as</w:t>
            </w:r>
            <w:r>
              <w:rPr>
                <w:rFonts w:hint="default" w:ascii="Calibri" w:hAnsi="Calibri" w:cs="Calibri"/>
                <w:i w:val="0"/>
                <w:iCs w:val="0"/>
                <w:caps w:val="0"/>
                <w:color w:val="000000"/>
                <w:spacing w:val="0"/>
                <w:sz w:val="22"/>
                <w:szCs w:val="22"/>
              </w:rPr>
              <w:t xml:space="preserve"> an increase in net worth resulting from a transaction. It is a fiscal indicator for assessing the sustainability of fiscal activities. General government units have four types of revenue. The major types of revenue are taxes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11</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social contributions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12</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grants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13</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and other revenue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"https://unstats.un.org/unsd/classifications/Family/Detail/1034"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GFS code 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Of these, compulsory levies and transfers are the main sources of revenue for most general government units.</w:t>
            </w:r>
          </w:p>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Concepts: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 xml:space="preserve">The transactions and the associated classifications are detailed in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"https://www.imf.org/external/Pubs/FT/GFS/Manual/2014/gfsfinal.pdf"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Chapter 5 of GFSM 2014</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xml:space="preserve"> and are structured to demonstrate how general government (and public sector) units raise revenue.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cs="Calibri"/>
                <w:sz w:val="22"/>
                <w:szCs w:val="22"/>
                <w:lang w:val="en-GB"/>
              </w:rPr>
              <w:t xml:space="preserve">Ministry of Finance </w:t>
            </w:r>
            <w:r>
              <w:rPr>
                <w:rFonts w:hint="default" w:ascii="Calibri" w:hAnsi="Calibri" w:cs="Calibri"/>
                <w:sz w:val="22"/>
                <w:szCs w:val="22"/>
                <w:lang w:val="en-CA"/>
              </w:rPr>
              <w:t>(MoF) F</w:t>
            </w:r>
            <w:r>
              <w:rPr>
                <w:rFonts w:hint="default" w:ascii="Calibri" w:hAnsi="Calibri" w:cs="Calibri"/>
                <w:sz w:val="22"/>
                <w:szCs w:val="22"/>
                <w:lang w:val="en-GB"/>
              </w:rPr>
              <w:t xml:space="preserve">iscal </w:t>
            </w:r>
            <w:r>
              <w:rPr>
                <w:rFonts w:hint="default" w:ascii="Calibri" w:hAnsi="Calibri" w:cs="Calibri"/>
                <w:sz w:val="22"/>
                <w:szCs w:val="22"/>
                <w:lang w:val="en-CA"/>
              </w:rPr>
              <w:t>D</w:t>
            </w:r>
            <w:r>
              <w:rPr>
                <w:rFonts w:hint="default" w:ascii="Calibri" w:hAnsi="Calibri" w:cs="Calibri"/>
                <w:sz w:val="22"/>
                <w:szCs w:val="22"/>
                <w:lang w:val="en-GB"/>
              </w:rPr>
              <w:t>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Arial" w:asciiTheme="minorAscii" w:hAnsiTheme="minorAscii"/>
                <w:sz w:val="22"/>
                <w:szCs w:val="22"/>
                <w:lang w:val="en-GB"/>
              </w:rPr>
              <w:t>Ministry of Finance</w:t>
            </w:r>
            <w:r>
              <w:rPr>
                <w:rFonts w:hint="default" w:cs="Arial" w:asciiTheme="minorAscii" w:hAnsiTheme="minorAscii"/>
                <w:sz w:val="22"/>
                <w:szCs w:val="22"/>
                <w:lang w:val="en-CA"/>
              </w:rPr>
              <w:t xml:space="preserv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Fiscal policy is the use of the level and composition of the general government and public sectors’ spending and revenue—and the related accumulation of government assets and liabilities—to achieve such goals as the stabilization of the economy, the reallocation of resources, and the redistribution of</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income. The indicator will provide analysts with a cross-country comparable dataset that highlights the relationship between the four main types of revenue as well as the relative "tax burden" (revenue in the form of taxes) and “fiscal burden” (revenue in the form of taxes plus social contributions).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30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"https://unstats.un.org/sdgs/metadata/files/Metadata-17-01-01.pdf" </w:instrText>
            </w:r>
            <w:r>
              <w:rPr>
                <w:rFonts w:hint="default"/>
              </w:rPr>
              <w:fldChar w:fldCharType="separate"/>
            </w:r>
            <w:r>
              <w:rPr>
                <w:rStyle w:val="18"/>
                <w:rFonts w:hint="default"/>
              </w:rPr>
              <w:t>https://unstats.un.org/sdgs/metadata/files/Metadata-17-01-01.pdf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DA3"/>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3BFF"/>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0C27F2"/>
    <w:rsid w:val="27ED3AD8"/>
    <w:rsid w:val="72CE098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215438</Words>
  <Characters>1228001</Characters>
  <Lines>10233</Lines>
  <Paragraphs>2881</Paragraphs>
  <TotalTime>33</TotalTime>
  <ScaleCrop>false</ScaleCrop>
  <LinksUpToDate>false</LinksUpToDate>
  <CharactersWithSpaces>1440558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2021-11-29T11:00:00Z</dcterms:created>
  <dc:creator>Fanning, Stephen B (JMD)</dc:creator>
  <cp:lastModifiedBy>Doreen</cp:lastModifiedBy>
  <cp:lastPrinted>2020-04-16T14:23:00Z</cp:lastPrinted>
  <dcterms:modified xsi:type="dcterms:W3CDTF">2022-11-13T12:24:08Z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DAA8613641474642A3B12926D58942D4</vt:lpwstr>
  </property>
</Properties>
</file>