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17.1.2 Proportion of domestic budget funded by domestic taxes [17.1.2] (GC_GOB_TAXD)</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17.1: Strengthen domestic resource mobilization, including through international support to developing countries, to improve domestic capacity for tax and other revenue collection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rPr>
                <w:rFonts w:hint="default"/>
                <w:lang w:val="en-CA"/>
              </w:rPr>
            </w:pPr>
            <w:r>
              <w:rPr>
                <w:sz w:val="22"/>
                <w:szCs w:val="22"/>
              </w:rPr>
              <w:t>Indicator 17.1.2: Proportion of domestic budget funded by domestic taxes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17.1.1</w:t>
            </w:r>
            <w:r>
              <w:rPr>
                <w:sz w:val="22"/>
                <w:szCs w:val="22"/>
                <w:highlight w:val="yellow"/>
              </w:rPr>
              <w:t xml:space="preserve">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I</w:t>
            </w:r>
            <w:r>
              <w:rPr>
                <w:sz w:val="22"/>
                <w:szCs w:val="22"/>
              </w:rPr>
              <w:t>MF Statistics Department (Government Finance Division)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2573"/>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precise definition of the indicator is the Proportion of domestic budgetary central government expenditure funded by taxes.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Budgetary central government, described in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"https://www.imf.org/external/np/sta/gfsm/"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GFSM 2014</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xml:space="preserve"> is an institutional unit of the general government sector particularly important in terms of size and power, particularly the power to exercise control over many other units and entities. </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budgetary central government is often a single unit of the central government that encompasses the fundamental activities of the national executive, legislative, and judiciary</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powers.</w:t>
            </w:r>
          </w:p>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Concepts:</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 xml:space="preserve">The key concepts and terms associated with the indicator are outlined in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"https://www.imf.org/external/Pubs/FT/GFS/Manual/2014/gfsfinal.pdf"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GFSM 2014</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as are the associated classifications. Revenue is defined in Chapter 4 (paragraph 4.23) and the associated classifications are detailed in Chapter 5. Expenditure is also defined in Chapter 4 (paragraph 4.21) while the associated detailed classifications and concepts used for calculating this aggregate are outlined in Chapter 6 - 8.</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5"/>
              <w:rPr>
                <w:rFonts w:hint="default"/>
                <w:lang w:val="en-CA"/>
              </w:rPr>
            </w:pPr>
            <w:r>
              <w:rPr>
                <w:sz w:val="22"/>
                <w:szCs w:val="22"/>
              </w:rPr>
              <w:t>Percent</w:t>
            </w:r>
            <w:r>
              <w:rPr>
                <w:rFonts w:hint="default"/>
                <w:sz w:val="22"/>
                <w:szCs w:val="22"/>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lang w:val="en-GB"/>
              </w:rPr>
              <w:t>Ministry of Finance fiscal data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lang w:val="en-GB"/>
              </w:rP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2688"/>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Indicator 17.1.2 Proportion of domestic budgetary central government expenditure funded by taxes supports an understanding of the extent to which countries’ recurrent and capital outlays are actually covered by domestic revenue mobilization in the form of taxation. Both indicators</w:t>
            </w:r>
            <w:r>
              <w:rPr>
                <w:rFonts w:hint="default" w:ascii="Calibri" w:hAnsi="Calibri" w:eastAsia="SimSun" w:cs="Calibri"/>
                <w:i w:val="0"/>
                <w:iCs w:val="0"/>
                <w:caps w:val="0"/>
                <w:color w:val="000000"/>
                <w:spacing w:val="0"/>
                <w:sz w:val="22"/>
                <w:szCs w:val="22"/>
                <w:lang w:val="en-CA"/>
              </w:rPr>
              <w:t xml:space="preserve">- 17.1.1 and 17.1.2- </w:t>
            </w:r>
            <w:r>
              <w:rPr>
                <w:rFonts w:hint="default" w:ascii="Calibri" w:hAnsi="Calibri" w:eastAsia="SimSun" w:cs="Calibri"/>
                <w:i w:val="0"/>
                <w:iCs w:val="0"/>
                <w:caps w:val="0"/>
                <w:color w:val="000000"/>
                <w:spacing w:val="0"/>
                <w:sz w:val="22"/>
                <w:szCs w:val="22"/>
              </w:rPr>
              <w:t>are important in relation to achieving longer-term development objectives.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"https://www.imf.org/external/Pubs/FT/GFS/Manual/2014/gfsfinal.pdf" </w:instrText>
            </w:r>
            <w:r>
              <w:rPr>
                <w:rFonts w:hint="default"/>
              </w:rPr>
              <w:fldChar w:fldCharType="separate"/>
            </w:r>
            <w:r>
              <w:rPr>
                <w:rStyle w:val="18"/>
                <w:rFonts w:hint="default"/>
              </w:rPr>
              <w:t>https://www.imf.org/external/Pubs/FT/GFS/Manual/2014/gfsfinal.pdf</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386"/>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481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2A71B6"/>
    <w:rsid w:val="3C5B52D9"/>
    <w:rsid w:val="424958F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41A1E"/>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215440</Words>
  <Characters>1228014</Characters>
  <Lines>10233</Lines>
  <Paragraphs>2881</Paragraphs>
  <TotalTime>24</TotalTime>
  <ScaleCrop>false</ScaleCrop>
  <LinksUpToDate>false</LinksUpToDate>
  <CharactersWithSpaces>1440573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2021-11-29T11:12:00Z</dcterms:created>
  <dc:creator>Fanning, Stephen B (JMD)</dc:creator>
  <cp:lastModifiedBy>Doreen</cp:lastModifiedBy>
  <cp:lastPrinted>2020-04-16T14:23:00Z</cp:lastPrinted>
  <dcterms:modified xsi:type="dcterms:W3CDTF">2022-11-13T12:34:41Z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9497283738CB488F8659C593AC54C68F</vt:lpwstr>
  </property>
</Properties>
</file>