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0.0.0 National series not in global framework (_)</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5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5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571"/>
            <w:bookmarkStart w:id="4" w:name="_Toc37932743"/>
            <w:bookmarkStart w:id="5" w:name="_Toc36812684"/>
            <w:bookmarkStart w:id="6" w:name="_Toc36813071"/>
            <w:bookmarkStart w:id="7" w:name="_Toc36655608"/>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pPr>
            <w:r>
              <w:fldChar w:fldCharType="begin"/>
            </w:r>
            <w:r>
              <w:instrText xml:space="preserve"> HYPERLINK "https://sustainabledevelopment-ghana.github.io/peace-and-justice-strong-institutions" </w:instrText>
            </w:r>
            <w:r>
              <w:fldChar w:fldCharType="separate"/>
            </w:r>
            <w:r>
              <w:t xml:space="preserve">Goal 16: </w:t>
            </w:r>
            <w:r>
              <w:t xml:space="preserve">Promote peaceful and inclusive societies for sustainable development, provide access to justice for all and build effective, accountable and inclusive institutions at all levels </w:t>
            </w:r>
            <w:r>
              <w:rPr>
                <w:rStyle w:val="18"/>
                <w:rFonts w:asciiTheme="minorHAnsi" w:hAnsiTheme="minorHAnsi" w:cstheme="minorHAnsi"/>
                <w:color w:val="auto"/>
                <w:szCs w:val="22"/>
                <w:u w:val="none"/>
              </w:rPr>
              <w:fldChar w:fldCharType="end"/>
            </w:r>
          </w:p>
        </w:tc>
      </w:tr>
      <w:permEnd w:id="5"/>
      <w:t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shd w:val="clear" w:color="auto" w:fill="F5F5F5"/>
              <w:spacing w:after="0"/>
              <w:outlineLvl w:val="4"/>
            </w:pPr>
            <w:r>
              <w:rPr>
                <w:rFonts w:eastAsia="Times New Roman" w:cs="Times New Roman"/>
                <w:color w:val="333333"/>
                <w:sz w:val="22"/>
                <w:szCs w:val="22"/>
                <w:lang w:eastAsia="en-GB"/>
              </w:rPr>
              <w:t>Target 16.5: Substantially reduce corruption and bribery in all their forms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pPr>
            <w:r>
              <w:t xml:space="preserve">Indicator 16.5.1: Proportion of persons who had at least one contact with a public official and who paid a bribe to a public official, or were asked for a bribe by those public officials, during the previous </w:t>
            </w:r>
            <w:bookmarkStart w:id="38" w:name="_GoBack"/>
            <w:bookmarkEnd w:id="38"/>
            <w:r>
              <w:t>12 months</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16.3</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shd w:val="clear" w:color="auto" w:fill="FFFFFF"/>
              <w:spacing w:after="0"/>
            </w:pPr>
            <w:r>
              <w:rPr>
                <w:rFonts w:eastAsia="Times New Roman" w:cs="Times New Roman"/>
                <w:color w:val="4A4A4A"/>
                <w:sz w:val="22"/>
                <w:szCs w:val="22"/>
                <w:lang w:eastAsia="en-GB"/>
              </w:rPr>
              <w:t>United Nations Office on Drugs and Crime (UNODC)</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7932744"/>
            <w:bookmarkStart w:id="9" w:name="_Toc36813072"/>
            <w:bookmarkStart w:id="10" w:name="_Toc36655609"/>
            <w:bookmarkStart w:id="11" w:name="_Toc36812572"/>
            <w:bookmarkStart w:id="12" w:name="_Toc36812685"/>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r>
              <w:t>Ghana Statistical Service</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7932745"/>
            <w:bookmarkStart w:id="14" w:name="_Toc36812573"/>
            <w:bookmarkStart w:id="15" w:name="_Toc36812686"/>
            <w:bookmarkStart w:id="16" w:name="_Toc36655610"/>
            <w:bookmarkStart w:id="17" w:name="_Toc36813073"/>
            <w:r>
              <w:rPr>
                <w:sz w:val="32"/>
                <w:szCs w:val="32"/>
              </w:rPr>
              <w:t>2. Definition, concepts, and classifications</w:t>
            </w:r>
            <w:bookmarkEnd w:id="13"/>
            <w:bookmarkEnd w:id="14"/>
            <w:bookmarkEnd w:id="15"/>
            <w:bookmarkEnd w:id="16"/>
            <w:bookmarkEnd w:id="17"/>
          </w:p>
        </w:tc>
      </w:tr>
      <w:tr>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shd w:val="clear" w:color="auto" w:fill="FFFFFF"/>
              <w:spacing w:after="0"/>
              <w:rPr>
                <w:rFonts w:eastAsia="Times New Roman" w:cs="Times New Roman"/>
                <w:color w:val="4A4A4A"/>
                <w:sz w:val="22"/>
                <w:szCs w:val="22"/>
                <w:lang w:eastAsia="en-GB"/>
              </w:rPr>
            </w:pPr>
            <w:r>
              <w:rPr>
                <w:rFonts w:eastAsia="Times New Roman" w:cs="Times New Roman"/>
                <w:b/>
                <w:bCs/>
                <w:color w:val="4A4A4A"/>
                <w:sz w:val="22"/>
                <w:szCs w:val="22"/>
                <w:lang w:eastAsia="en-GB"/>
              </w:rPr>
              <w:t>Definition:</w:t>
            </w:r>
          </w:p>
          <w:p>
            <w:pPr>
              <w:shd w:val="clear" w:color="auto" w:fill="FFFFFF"/>
              <w:spacing w:after="0"/>
              <w:rPr>
                <w:rFonts w:eastAsia="Times New Roman" w:cs="Times New Roman"/>
                <w:color w:val="4A4A4A"/>
                <w:sz w:val="22"/>
                <w:szCs w:val="22"/>
                <w:lang w:eastAsia="en-GB"/>
              </w:rPr>
            </w:pPr>
          </w:p>
          <w:p>
            <w:pPr>
              <w:shd w:val="clear" w:color="auto" w:fill="FFFFFF"/>
              <w:spacing w:after="0"/>
              <w:rPr>
                <w:rFonts w:eastAsia="Times New Roman" w:cs="Times New Roman"/>
                <w:color w:val="4A4A4A"/>
                <w:sz w:val="22"/>
                <w:szCs w:val="22"/>
                <w:lang w:eastAsia="en-GB"/>
              </w:rPr>
            </w:pPr>
            <w:r>
              <w:rPr>
                <w:rFonts w:eastAsia="Times New Roman" w:cs="Times New Roman"/>
                <w:color w:val="4A4A4A"/>
                <w:sz w:val="22"/>
                <w:szCs w:val="22"/>
                <w:lang w:eastAsia="en-GB"/>
              </w:rPr>
              <w:t>This indicator is defined as the percentage of persons who paid at least one bribe (gave a public official money, a gift or counter favour) to a public official, or were asked for a bribe by these public officials, in the last 12 months, as a percentage of persons who had at least one contact with a public official in the same period.</w:t>
            </w:r>
          </w:p>
          <w:p>
            <w:pPr>
              <w:shd w:val="clear" w:color="auto" w:fill="FFFFFF"/>
              <w:spacing w:after="0"/>
              <w:rPr>
                <w:rFonts w:eastAsia="Times New Roman" w:cs="Times New Roman"/>
                <w:color w:val="4A4A4A"/>
                <w:sz w:val="22"/>
                <w:szCs w:val="22"/>
                <w:lang w:eastAsia="en-GB"/>
              </w:rPr>
            </w:pPr>
            <w:r>
              <w:rPr>
                <w:rFonts w:eastAsia="Times New Roman" w:cs="Times New Roman"/>
                <w:b/>
                <w:bCs/>
                <w:color w:val="4A4A4A"/>
                <w:sz w:val="22"/>
                <w:szCs w:val="22"/>
                <w:lang w:eastAsia="en-GB"/>
              </w:rPr>
              <w:t>Concepts:</w:t>
            </w:r>
          </w:p>
          <w:p>
            <w:pPr>
              <w:shd w:val="clear" w:color="auto" w:fill="FFFFFF"/>
              <w:spacing w:after="0"/>
              <w:rPr>
                <w:rFonts w:eastAsia="Times New Roman" w:cs="Times New Roman"/>
                <w:color w:val="4A4A4A"/>
                <w:sz w:val="22"/>
                <w:szCs w:val="22"/>
                <w:lang w:eastAsia="en-GB"/>
              </w:rPr>
            </w:pPr>
          </w:p>
          <w:p>
            <w:pPr>
              <w:shd w:val="clear" w:color="auto" w:fill="FFFFFF"/>
              <w:spacing w:after="0"/>
              <w:rPr>
                <w:rFonts w:eastAsia="Times New Roman" w:cs="Times New Roman"/>
                <w:color w:val="4A4A4A"/>
                <w:sz w:val="22"/>
                <w:szCs w:val="22"/>
                <w:lang w:eastAsia="en-GB"/>
              </w:rPr>
            </w:pPr>
            <w:r>
              <w:rPr>
                <w:rFonts w:eastAsia="Times New Roman" w:cs="Times New Roman"/>
                <w:color w:val="4A4A4A"/>
                <w:sz w:val="22"/>
                <w:szCs w:val="22"/>
                <w:lang w:eastAsia="en-GB"/>
              </w:rPr>
              <w:t>In the International Classification of Crime for Statistical Purposes</w:t>
            </w:r>
            <w:r>
              <w:rPr>
                <w:rFonts w:eastAsia="Times New Roman" w:cs="Times New Roman"/>
                <w:color w:val="4A4A4A"/>
                <w:sz w:val="21"/>
                <w:szCs w:val="21"/>
                <w:lang w:eastAsia="en-GB"/>
              </w:rPr>
              <w:t xml:space="preserve"> </w:t>
            </w:r>
            <w:r>
              <w:rPr>
                <w:rFonts w:eastAsia="Times New Roman" w:cs="Times New Roman"/>
                <w:color w:val="4A4A4A"/>
                <w:sz w:val="22"/>
                <w:szCs w:val="22"/>
                <w:lang w:eastAsia="en-GB"/>
              </w:rPr>
              <w:t>(ICCS), bribery is defined as: ‘Promising, offering, giving, soliciting, or accepting an undue advantage to or from a public official or a person who directs or works in a private sector entity, directly or indirectly, in order that the person act or refrain from acting in the exercise of his or her official duties’. This definition is based on definitions of bribery of national public officials, bribery of foreign public officials and official of international organisations and bribery in the private sector that are contained in the United Nations Convention against Corruption (articles 15, 16, and 21).</w:t>
            </w:r>
          </w:p>
          <w:p>
            <w:pPr>
              <w:shd w:val="clear" w:color="auto" w:fill="FFFFFF"/>
              <w:spacing w:after="0"/>
              <w:rPr>
                <w:rFonts w:eastAsia="Times New Roman" w:cs="Times New Roman"/>
                <w:color w:val="4A4A4A"/>
                <w:sz w:val="22"/>
                <w:szCs w:val="22"/>
                <w:lang w:eastAsia="en-GB"/>
              </w:rPr>
            </w:pPr>
          </w:p>
          <w:p>
            <w:pPr>
              <w:shd w:val="clear" w:color="auto" w:fill="FFFFFF"/>
              <w:spacing w:after="0"/>
              <w:rPr>
                <w:rFonts w:eastAsia="Times New Roman" w:cs="Times New Roman"/>
                <w:color w:val="4A4A4A"/>
                <w:sz w:val="22"/>
                <w:szCs w:val="22"/>
                <w:lang w:eastAsia="en-GB"/>
              </w:rPr>
            </w:pPr>
            <w:r>
              <w:rPr>
                <w:rFonts w:eastAsia="Times New Roman" w:cs="Times New Roman"/>
                <w:color w:val="4A4A4A"/>
                <w:sz w:val="22"/>
                <w:szCs w:val="22"/>
                <w:lang w:eastAsia="en-GB"/>
              </w:rPr>
              <w:t>While the concept of bribery is broader, as it includes also actions such as promising or offering, and it covers both public and private sector, this indicator focuses on specific forms of bribery that are more measurable (the giving and/or requesting of bribes) and it limits the scope to the public sector.</w:t>
            </w:r>
          </w:p>
          <w:p>
            <w:pPr>
              <w:shd w:val="clear" w:color="auto" w:fill="FFFFFF"/>
              <w:spacing w:after="0"/>
              <w:rPr>
                <w:rFonts w:eastAsia="Times New Roman" w:cs="Times New Roman"/>
                <w:color w:val="4A4A4A"/>
                <w:sz w:val="22"/>
                <w:szCs w:val="22"/>
                <w:lang w:eastAsia="en-GB"/>
              </w:rPr>
            </w:pPr>
          </w:p>
          <w:p>
            <w:pPr>
              <w:shd w:val="clear" w:color="auto" w:fill="FFFFFF"/>
              <w:spacing w:after="0"/>
              <w:rPr>
                <w:rFonts w:eastAsia="Times New Roman" w:cs="Times New Roman"/>
                <w:color w:val="4A4A4A"/>
                <w:sz w:val="22"/>
                <w:szCs w:val="22"/>
                <w:lang w:eastAsia="en-GB"/>
              </w:rPr>
            </w:pPr>
            <w:r>
              <w:rPr>
                <w:rFonts w:eastAsia="Times New Roman" w:cs="Times New Roman"/>
                <w:color w:val="4A4A4A"/>
                <w:sz w:val="22"/>
                <w:szCs w:val="22"/>
                <w:lang w:eastAsia="en-GB"/>
              </w:rPr>
              <w:t>The concept of undue advantage is operationalized by reference to giving of money, gifts or provision of a service requested/offered by/to a public official in exchange for a special treatment.</w:t>
            </w:r>
          </w:p>
          <w:p>
            <w:pPr>
              <w:shd w:val="clear" w:color="auto" w:fill="FFFFFF"/>
              <w:spacing w:after="0"/>
              <w:rPr>
                <w:rFonts w:eastAsia="Times New Roman" w:cs="Times New Roman"/>
                <w:color w:val="4A4A4A"/>
                <w:sz w:val="22"/>
                <w:szCs w:val="22"/>
                <w:lang w:eastAsia="en-GB"/>
              </w:rPr>
            </w:pPr>
          </w:p>
          <w:p>
            <w:pPr>
              <w:shd w:val="clear" w:color="auto" w:fill="FFFFFF"/>
              <w:spacing w:after="0"/>
              <w:rPr>
                <w:rFonts w:eastAsia="Times New Roman" w:cs="Times New Roman"/>
                <w:color w:val="4A4A4A"/>
                <w:sz w:val="22"/>
                <w:szCs w:val="22"/>
                <w:lang w:eastAsia="en-GB"/>
              </w:rPr>
            </w:pPr>
            <w:r>
              <w:rPr>
                <w:rFonts w:eastAsia="Times New Roman" w:cs="Times New Roman"/>
                <w:color w:val="4A4A4A"/>
                <w:sz w:val="22"/>
                <w:szCs w:val="22"/>
                <w:lang w:eastAsia="en-GB"/>
              </w:rPr>
              <w:t>This indicator captures the often called ‘administrative bribery’, which is often intended as the type of bribery affecting citizens in their dealings with public administrations and/or civil servants.</w:t>
            </w:r>
          </w:p>
          <w:p>
            <w:pPr>
              <w:shd w:val="clear" w:color="auto" w:fill="FFFFFF"/>
              <w:spacing w:after="0"/>
              <w:rPr>
                <w:rFonts w:eastAsia="Times New Roman" w:cs="Times New Roman"/>
                <w:color w:val="4A4A4A"/>
                <w:sz w:val="22"/>
                <w:szCs w:val="22"/>
                <w:lang w:eastAsia="en-GB"/>
              </w:rPr>
            </w:pPr>
          </w:p>
          <w:p>
            <w:pPr>
              <w:shd w:val="clear" w:color="auto" w:fill="FFFFFF"/>
              <w:spacing w:after="0"/>
            </w:pPr>
            <w:r>
              <w:rPr>
                <w:rFonts w:eastAsia="Times New Roman" w:cs="Times New Roman"/>
                <w:color w:val="4A4A4A"/>
                <w:sz w:val="22"/>
                <w:szCs w:val="22"/>
                <w:lang w:eastAsia="en-GB"/>
              </w:rPr>
              <w:t>For this indicator, public official refers to persons holding a legislative, executive, administrative or judicial office. In the operationalization of the indicator, a list of selected officials and civil servants is used.</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t>Percentage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r>
              <w:t>Ghana Statistical Service, Ghana Living Standards Survey</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r>
              <w:t>5 years</w:t>
            </w: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Ghana Statistical Service (GSS)</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Ghana Statistical Service (GSS)</w:t>
            </w: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655612"/>
            <w:bookmarkStart w:id="21" w:name="_Toc36813075"/>
            <w:bookmarkStart w:id="22" w:name="_Toc36812575"/>
            <w:bookmarkStart w:id="23" w:name="_Toc37932747"/>
            <w:bookmarkStart w:id="24" w:name="_Toc36812688"/>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pStyle w:val="34"/>
            </w:pPr>
            <w:r>
              <w:rPr>
                <w:sz w:val="22"/>
                <w:szCs w:val="22"/>
              </w:rPr>
              <w:t>Corruption is an antonym of equal accessibility to public services and of correct functioning of the economy; as such, it has a negative impact on fair distribution of resources and development opportunities. Besides, corruption erodes public trust in authorities and the rule of law; when administrative bribery becomes a recurrent experience of large sectors of the population and businesses, its negative effects have an enduring negative impact on the rule of law, democratic processes and justice. By providing a direct measure of the experience of bribery, this indicator provides an objective metric of corruption, a yardstick to monitor progress in the fight against corruption</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r>
              <w:t>Proportion of persons who paid at least a bribe (gave a public official money, gift or did a public official favour) to a public official, or were asked for a bribe by these public officials, in the last 12 months, expressed as percentage of persons who had at least one contact with a public official in the same period.</w:t>
            </w: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7932748"/>
            <w:bookmarkStart w:id="26" w:name="_Toc36813076"/>
            <w:bookmarkStart w:id="27" w:name="_Toc36655613"/>
            <w:bookmarkStart w:id="28" w:name="_Toc36812576"/>
            <w:bookmarkStart w:id="29" w:name="_Toc36812689"/>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86"/>
    <w:family w:val="swiss"/>
    <w:pitch w:val="default"/>
    <w:sig w:usb0="E4002EFF" w:usb1="C000247B" w:usb2="00000009" w:usb3="00000000" w:csb0="200001FF" w:csb1="00000000"/>
  </w:font>
  <w:font w:name="Calibri">
    <w:panose1 w:val="020F0502020204030204"/>
    <w:charset w:val="86"/>
    <w:family w:val="swiss"/>
    <w:pitch w:val="default"/>
    <w:sig w:usb0="E4002EFF" w:usb1="C000247B" w:usb2="00000009" w:usb3="00000000" w:csb0="200001FF" w:csb1="00000000"/>
  </w:font>
  <w:font w:name="Calibri">
    <w:panose1 w:val="020F0502020204030204"/>
    <w:charset w:val="00"/>
    <w:family w:val="auto"/>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documentProtection w:edit="readOnly" w:enforcement="1"/>
  <w:defaultTabStop w:val="720"/>
  <w:characterSpacingControl w:val="doNotCompress"/>
  <w:footnotePr>
    <w:footnote w:id="2"/>
    <w:footnote w:id="3"/>
  </w:footnotePr>
  <w:endnotePr>
    <w:numFmt w:val="decimal"/>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50209"/>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C5FDE"/>
    <w:rsid w:val="008D775E"/>
    <w:rsid w:val="008E09AA"/>
    <w:rsid w:val="008E4413"/>
    <w:rsid w:val="008E4D2D"/>
    <w:rsid w:val="008E6037"/>
    <w:rsid w:val="008F0F40"/>
    <w:rsid w:val="00911199"/>
    <w:rsid w:val="009165F2"/>
    <w:rsid w:val="009367AA"/>
    <w:rsid w:val="0095215C"/>
    <w:rsid w:val="0095217A"/>
    <w:rsid w:val="00952376"/>
    <w:rsid w:val="00953488"/>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1E145289"/>
    <w:rsid w:val="3F0A4615"/>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HAnsi" w:cstheme="minorBidi"/>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2">
    <w:name w:val="Unresolved Mention"/>
    <w:basedOn w:val="4"/>
    <w:semiHidden/>
    <w:unhideWhenUsed/>
    <w:qFormat/>
    <w:uiPriority w:val="99"/>
    <w:rPr>
      <w:color w:val="605E5C"/>
      <w:shd w:val="clear" w:color="auto" w:fill="E1DFDD"/>
    </w:rPr>
  </w:style>
  <w:style w:type="character" w:customStyle="1" w:styleId="53">
    <w:name w:val="hidden-sm"/>
    <w:basedOn w:val="4"/>
    <w:qFormat/>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3.bin"/></Relationships>
</file>

<file path=word/activeX/_rels/activeX2.xml.rels><?xml version="1.0" encoding="UTF-8" standalone="yes"?>
<Relationships xmlns="http://schemas.openxmlformats.org/package/2006/relationships"><Relationship Id="rId1" Type="http://schemas.microsoft.com/office/2006/relationships/activeXControlBinary" Target="activeX4.bin"/></Relationships>
</file>

<file path=word/activeX/_rels/activeX3.xml.rels><?xml version="1.0" encoding="UTF-8" standalone="yes"?>
<Relationships xmlns="http://schemas.openxmlformats.org/package/2006/relationships"><Relationship Id="rId1" Type="http://schemas.microsoft.com/office/2006/relationships/activeXControlBinary" Target="activeX2.bin"/></Relationships>
</file>

<file path=word/activeX/_rels/activeX4.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qFormat="1" w:uiPriority="99" w:name="Normal Table"/>
    <w:lsdException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4712825F-F8FB-47DE-B6A1-8CCC6E07E218}">
  <ds:schemaRefs/>
</ds:datastoreItem>
</file>

<file path=customXml/itemProps3.xml><?xml version="1.0" encoding="utf-8"?>
<ds:datastoreItem xmlns:ds="http://schemas.openxmlformats.org/officeDocument/2006/customXml" ds:itemID="{EB1C2039-A1E2-420D-9A37-E0F60F4991A9}">
  <ds:schemaRefs/>
</ds:datastoreItem>
</file>

<file path=customXml/itemProps4.xml><?xml version="1.0" encoding="utf-8"?>
<ds:datastoreItem xmlns:ds="http://schemas.openxmlformats.org/officeDocument/2006/customXml" ds:itemID="{57E59553-E217-482E-8EE7-C905E1600DAA}">
  <ds:schemaRefs/>
</ds:datastoreItem>
</file>

<file path=docProps/app.xml><?xml version="1.0" encoding="utf-8"?>
<Properties xmlns="http://schemas.openxmlformats.org/officeDocument/2006/extended-properties" xmlns:vt="http://schemas.openxmlformats.org/officeDocument/2006/docPropsVTypes">
  <Template>Normal</Template>
  <Company>JCON</Company>
  <Pages>12</Pages>
  <Words>215938</Words>
  <Characters>1230852</Characters>
  <Lines>10257</Lines>
  <Paragraphs>2887</Paragraphs>
  <TotalTime>6</TotalTime>
  <ScaleCrop>false</ScaleCrop>
  <LinksUpToDate>false</LinksUpToDate>
  <CharactersWithSpaces>1443903</CharactersWithSpaces>
  <Application>WPS Office_11.2.0.11341_F1E327BC-269C-435d-A152-05C5408002CA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2021-10-18T15:42:00Z</dcterms:created>
  <dc:creator>Fanning, Stephen B (JMD)</dc:creator>
  <cp:lastModifiedBy>Doreen</cp:lastModifiedBy>
  <cp:lastPrinted>2020-04-16T14:23:00Z</cp:lastPrinted>
  <dcterms:modified xsi:type="dcterms:W3CDTF">2022-10-16T21:06:09Z</dcterms:modified>
  <cp:revision>4</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1033-11.2.0.11341</vt:lpwstr>
  </property>
  <property fmtid="{D5CDD505-2E9C-101B-9397-08002B2CF9AE}" pid="4" name="ICV">
    <vt:lpwstr>602EAE8A0063454B8F29E283A3EE3B19</vt:lpwstr>
  </property>
</Properties>
</file>