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2.a.2 Total official flows (disbursements) for agriculture, by recipient countries [2.a.2] (DC_TOF_AGRL)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2: End hunger, achieve food security and improved nutrition and promote sustainable agriculture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lang w:eastAsia="en-GB"/>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2.a.2: Total official flows (official development assistance plus other official flows) to the agriculture sector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Organisation for Economic Co-operation and Development (OECD)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t>Percentage of total Foreign Direct Investment that flows into</w:t>
            </w:r>
            <w:r>
              <w:rPr>
                <w:rFonts w:hint="default"/>
                <w:lang w:val="en-CA"/>
              </w:rPr>
              <w:t xml:space="preserve"> the</w:t>
            </w:r>
            <w:r>
              <w:t xml:space="preserve"> agriculture sector refers to the proportion of total private capital flows from abroad/overseas that goes into the agricultural sector per annum, where agriculture entails Crops, Livestock, Fishing, Forestry and Logging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t>Ghana Investment Promotion Centre</w:t>
            </w:r>
            <w:r>
              <w:rPr>
                <w:rFonts w:hint="default"/>
                <w:lang w:val="en-CA"/>
              </w:rPr>
              <w:t xml:space="preserve"> (GIPC) </w:t>
            </w:r>
            <w:r>
              <w:rPr>
                <w:rFonts w:eastAsia="Arial" w:cstheme="minorHAnsi"/>
              </w:rPr>
              <w:t>Annual Report</w:t>
            </w:r>
            <w:r>
              <w:rPr>
                <w:rFonts w:hint="default" w:eastAsia="Arial" w:cstheme="minorHAnsi"/>
                <w:lang w:val="en-CA"/>
              </w:rPr>
              <w:t xml:space="preserve">, </w:t>
            </w:r>
            <w:r>
              <w:rPr>
                <w:rFonts w:eastAsia="Arial" w:cstheme="minorHAnsi"/>
              </w:rPr>
              <w:t xml:space="preserve">2019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w:t>
            </w:r>
            <w:bookmarkStart w:id="38" w:name="_GoBack"/>
            <w:bookmarkEnd w:id="38"/>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Investment Promotion Centre</w:t>
            </w:r>
            <w:r>
              <w:rPr>
                <w:rFonts w:hint="default"/>
                <w:lang w:val="en-CA"/>
              </w:rPr>
              <w:t xml:space="preserve"> (GIPC)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The indicator, Percentage of total Foreign Direct Investment that flows into</w:t>
            </w:r>
            <w:r>
              <w:rPr>
                <w:rFonts w:hint="default" w:cstheme="minorHAnsi"/>
                <w:lang w:val="en-CA"/>
              </w:rPr>
              <w:t xml:space="preserve"> the</w:t>
            </w:r>
            <w:r>
              <w:rPr>
                <w:rFonts w:cstheme="minorHAnsi"/>
              </w:rPr>
              <w:t xml:space="preserve"> agriculture sector, is calculated by dividing total agricultural foreign direct investment inflows by the overall total foreign direct investment inflows registered.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2576"/>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7A8C"/>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6F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04533"/>
    <w:rsid w:val="00B137EE"/>
    <w:rsid w:val="00B13CEC"/>
    <w:rsid w:val="00B66AF3"/>
    <w:rsid w:val="00B71AEA"/>
    <w:rsid w:val="00B74489"/>
    <w:rsid w:val="00B8102F"/>
    <w:rsid w:val="00B818CA"/>
    <w:rsid w:val="00B9347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65A0"/>
    <w:rsid w:val="00F54570"/>
    <w:rsid w:val="00F75853"/>
    <w:rsid w:val="00F7784D"/>
    <w:rsid w:val="00F8144F"/>
    <w:rsid w:val="00F8462A"/>
    <w:rsid w:val="00F862A7"/>
    <w:rsid w:val="00F93763"/>
    <w:rsid w:val="00F939A2"/>
    <w:rsid w:val="00F96E8D"/>
    <w:rsid w:val="00FA20D9"/>
    <w:rsid w:val="00FB03D0"/>
    <w:rsid w:val="00FD54D7"/>
    <w:rsid w:val="00FF642D"/>
    <w:rsid w:val="1B870D4C"/>
    <w:rsid w:val="1D1C616B"/>
    <w:rsid w:val="28FC347F"/>
    <w:rsid w:val="2B5933CE"/>
    <w:rsid w:val="5C761378"/>
    <w:rsid w:val="782F24D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2057"/>
    <w:rsid w:val="00296525"/>
    <w:rsid w:val="0036646D"/>
    <w:rsid w:val="006153AA"/>
    <w:rsid w:val="0064052E"/>
    <w:rsid w:val="00705A94"/>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215626</Words>
  <Characters>1229069</Characters>
  <Lines>10242</Lines>
  <Paragraphs>2883</Paragraphs>
  <TotalTime>0</TotalTime>
  <ScaleCrop>false</ScaleCrop>
  <LinksUpToDate>false</LinksUpToDate>
  <CharactersWithSpaces>1441812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2021-10-18T11:20:00Z</dcterms:created>
  <dc:creator>Fanning, Stephen B (JMD)</dc:creator>
  <cp:lastModifiedBy>Doreen</cp:lastModifiedBy>
  <cp:lastPrinted>2020-04-16T14:23:00Z</cp:lastPrinted>
  <dcterms:modified xsi:type="dcterms:W3CDTF">2022-11-14T07:43:20Z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17C8F400C18A4B6491C2481AA395404D</vt:lpwstr>
  </property>
</Properties>
</file>